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A6C" w:rsidRPr="007C62D1" w:rsidRDefault="00B055CC" w:rsidP="007C62D1">
      <w:pPr>
        <w:spacing w:line="240" w:lineRule="auto"/>
        <w:ind w:firstLine="6946"/>
        <w:contextualSpacing/>
        <w:rPr>
          <w:sz w:val="20"/>
        </w:rPr>
      </w:pPr>
      <w:r>
        <w:rPr>
          <w:sz w:val="20"/>
        </w:rPr>
        <w:t>П</w:t>
      </w:r>
      <w:r w:rsidR="007C62D1" w:rsidRPr="007C62D1">
        <w:rPr>
          <w:sz w:val="20"/>
        </w:rPr>
        <w:t>риложение к приказу председателя</w:t>
      </w:r>
    </w:p>
    <w:p w:rsidR="007C62D1" w:rsidRPr="007C62D1" w:rsidRDefault="007C62D1" w:rsidP="007C62D1">
      <w:pPr>
        <w:spacing w:line="240" w:lineRule="auto"/>
        <w:ind w:firstLine="6946"/>
        <w:contextualSpacing/>
        <w:rPr>
          <w:sz w:val="20"/>
        </w:rPr>
      </w:pPr>
      <w:r w:rsidRPr="007C62D1">
        <w:rPr>
          <w:sz w:val="20"/>
        </w:rPr>
        <w:t>Контрольно-счетной палаты</w:t>
      </w:r>
    </w:p>
    <w:p w:rsidR="007C62D1" w:rsidRPr="007C62D1" w:rsidRDefault="007C62D1" w:rsidP="007C62D1">
      <w:pPr>
        <w:spacing w:line="240" w:lineRule="auto"/>
        <w:ind w:firstLine="6946"/>
        <w:contextualSpacing/>
        <w:rPr>
          <w:sz w:val="20"/>
        </w:rPr>
      </w:pPr>
      <w:r w:rsidRPr="007C62D1">
        <w:rPr>
          <w:sz w:val="20"/>
        </w:rPr>
        <w:t>Томской области</w:t>
      </w:r>
    </w:p>
    <w:p w:rsidR="007C62D1" w:rsidRPr="007C62D1" w:rsidRDefault="007563DF" w:rsidP="007C62D1">
      <w:pPr>
        <w:spacing w:line="240" w:lineRule="auto"/>
        <w:ind w:firstLine="6946"/>
        <w:contextualSpacing/>
        <w:rPr>
          <w:sz w:val="20"/>
        </w:rPr>
      </w:pPr>
      <w:r>
        <w:rPr>
          <w:sz w:val="20"/>
        </w:rPr>
        <w:t>о</w:t>
      </w:r>
      <w:r w:rsidR="007C62D1" w:rsidRPr="007C62D1">
        <w:rPr>
          <w:sz w:val="20"/>
        </w:rPr>
        <w:t>т «</w:t>
      </w:r>
      <w:r>
        <w:rPr>
          <w:sz w:val="20"/>
        </w:rPr>
        <w:t>08</w:t>
      </w:r>
      <w:r w:rsidR="007C62D1" w:rsidRPr="007C62D1">
        <w:rPr>
          <w:sz w:val="20"/>
        </w:rPr>
        <w:t xml:space="preserve">» </w:t>
      </w:r>
      <w:r>
        <w:rPr>
          <w:sz w:val="20"/>
        </w:rPr>
        <w:t xml:space="preserve">декабря </w:t>
      </w:r>
      <w:r w:rsidR="007C62D1" w:rsidRPr="007C62D1">
        <w:rPr>
          <w:sz w:val="20"/>
        </w:rPr>
        <w:t>2025 №</w:t>
      </w:r>
      <w:r>
        <w:rPr>
          <w:sz w:val="20"/>
        </w:rPr>
        <w:t xml:space="preserve"> 142</w:t>
      </w: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B055C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  <w:r w:rsidRPr="002A2C49">
        <w:t>Контрольно-счетная палата Томской области</w:t>
      </w: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  <w:bookmarkStart w:id="0" w:name="_GoBack"/>
      <w:bookmarkEnd w:id="0"/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sz w:val="24"/>
          <w:szCs w:val="24"/>
        </w:rPr>
      </w:pPr>
      <w:r w:rsidRPr="002A2C49">
        <w:rPr>
          <w:sz w:val="24"/>
          <w:szCs w:val="24"/>
        </w:rPr>
        <w:t>СТАНДАРТ</w:t>
      </w: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sz w:val="24"/>
          <w:szCs w:val="24"/>
        </w:rPr>
      </w:pPr>
      <w:r w:rsidRPr="002A2C49">
        <w:rPr>
          <w:sz w:val="24"/>
          <w:szCs w:val="24"/>
        </w:rPr>
        <w:t xml:space="preserve">ВНЕШНЕГО ГОСУДАРСТВЕННОГО ФИНАНСОВОГО КОНТРОЛЯ </w:t>
      </w: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sz w:val="24"/>
          <w:szCs w:val="24"/>
        </w:rPr>
      </w:pPr>
      <w:r w:rsidRPr="002A2C49">
        <w:rPr>
          <w:sz w:val="24"/>
          <w:szCs w:val="24"/>
        </w:rPr>
        <w:t>«</w:t>
      </w:r>
      <w:r w:rsidR="008A6D45" w:rsidRPr="002A2C49">
        <w:rPr>
          <w:sz w:val="24"/>
          <w:szCs w:val="24"/>
        </w:rPr>
        <w:t>Оценка реализуемости, рисков и результатов достижения целей социального экономического развития Томской области, предусмотренных документами стратегического планирования Томской области</w:t>
      </w:r>
      <w:r w:rsidRPr="002A2C49">
        <w:rPr>
          <w:sz w:val="24"/>
          <w:szCs w:val="24"/>
        </w:rPr>
        <w:t>»</w:t>
      </w: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b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5267D5" w:rsidP="002A2C49">
      <w:pPr>
        <w:spacing w:line="240" w:lineRule="auto"/>
        <w:contextualSpacing/>
        <w:jc w:val="center"/>
        <w:rPr>
          <w:sz w:val="24"/>
          <w:szCs w:val="24"/>
        </w:rPr>
      </w:pPr>
      <w:r w:rsidRPr="002A2C49">
        <w:rPr>
          <w:color w:val="FF0000"/>
          <w:sz w:val="24"/>
          <w:szCs w:val="24"/>
        </w:rPr>
        <w:t xml:space="preserve">          </w:t>
      </w:r>
      <w:r w:rsidR="00434B3E" w:rsidRPr="002A2C49">
        <w:rPr>
          <w:sz w:val="24"/>
          <w:szCs w:val="24"/>
        </w:rPr>
        <w:t xml:space="preserve">Вводится в действие с </w:t>
      </w:r>
      <w:r w:rsidRPr="002A2C49">
        <w:rPr>
          <w:sz w:val="24"/>
          <w:szCs w:val="24"/>
        </w:rPr>
        <w:t>«</w:t>
      </w:r>
      <w:r w:rsidR="00C56333">
        <w:rPr>
          <w:sz w:val="24"/>
          <w:szCs w:val="24"/>
        </w:rPr>
        <w:t>08</w:t>
      </w:r>
      <w:r w:rsidRPr="002A2C49">
        <w:rPr>
          <w:sz w:val="24"/>
          <w:szCs w:val="24"/>
        </w:rPr>
        <w:t>»</w:t>
      </w:r>
      <w:r w:rsidR="00C56333">
        <w:rPr>
          <w:sz w:val="24"/>
          <w:szCs w:val="24"/>
        </w:rPr>
        <w:t xml:space="preserve"> декабря</w:t>
      </w:r>
      <w:r w:rsidRPr="002A2C49">
        <w:rPr>
          <w:sz w:val="24"/>
          <w:szCs w:val="24"/>
        </w:rPr>
        <w:t xml:space="preserve"> </w:t>
      </w:r>
      <w:r w:rsidR="00A0524F" w:rsidRPr="002A2C49">
        <w:rPr>
          <w:sz w:val="24"/>
          <w:szCs w:val="24"/>
        </w:rPr>
        <w:t>2025</w:t>
      </w:r>
      <w:r w:rsidR="00434B3E" w:rsidRPr="002A2C49">
        <w:rPr>
          <w:sz w:val="24"/>
          <w:szCs w:val="24"/>
        </w:rPr>
        <w:t xml:space="preserve"> года</w:t>
      </w:r>
    </w:p>
    <w:p w:rsidR="00252A6C" w:rsidRPr="002A2C49" w:rsidRDefault="00252A6C" w:rsidP="002A2C49">
      <w:pPr>
        <w:spacing w:line="240" w:lineRule="auto"/>
        <w:contextualSpacing/>
        <w:jc w:val="center"/>
        <w:rPr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A2C49" w:rsidRPr="002A2C49" w:rsidRDefault="002A2C49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contextualSpacing/>
        <w:jc w:val="center"/>
        <w:rPr>
          <w:color w:val="FF0000"/>
          <w:sz w:val="24"/>
          <w:szCs w:val="24"/>
        </w:rPr>
      </w:pPr>
    </w:p>
    <w:p w:rsidR="00252A6C" w:rsidRPr="006F079F" w:rsidRDefault="00252A6C" w:rsidP="002A2C49">
      <w:pPr>
        <w:spacing w:line="240" w:lineRule="auto"/>
        <w:contextualSpacing/>
        <w:jc w:val="center"/>
        <w:rPr>
          <w:color w:val="FF0000"/>
          <w:szCs w:val="24"/>
        </w:rPr>
      </w:pPr>
    </w:p>
    <w:p w:rsidR="00252A6C" w:rsidRPr="006F079F" w:rsidRDefault="00252A6C" w:rsidP="002A2C49">
      <w:pPr>
        <w:spacing w:line="240" w:lineRule="auto"/>
        <w:ind w:firstLine="0"/>
        <w:contextualSpacing/>
        <w:jc w:val="center"/>
        <w:rPr>
          <w:sz w:val="22"/>
        </w:rPr>
      </w:pPr>
      <w:r w:rsidRPr="006F079F">
        <w:rPr>
          <w:sz w:val="22"/>
        </w:rPr>
        <w:t>Томск</w:t>
      </w:r>
    </w:p>
    <w:p w:rsidR="002A2C49" w:rsidRPr="002A2C49" w:rsidRDefault="00252A6C" w:rsidP="006F079F">
      <w:pPr>
        <w:spacing w:line="240" w:lineRule="auto"/>
        <w:ind w:firstLine="0"/>
        <w:contextualSpacing/>
        <w:jc w:val="center"/>
        <w:rPr>
          <w:sz w:val="20"/>
        </w:rPr>
      </w:pPr>
      <w:r w:rsidRPr="006F079F">
        <w:rPr>
          <w:sz w:val="22"/>
        </w:rPr>
        <w:t>20</w:t>
      </w:r>
      <w:r w:rsidR="008A6D45" w:rsidRPr="006F079F">
        <w:rPr>
          <w:sz w:val="22"/>
        </w:rPr>
        <w:t>25</w:t>
      </w:r>
      <w:r w:rsidRPr="006F079F">
        <w:rPr>
          <w:sz w:val="22"/>
        </w:rPr>
        <w:t xml:space="preserve"> год</w:t>
      </w:r>
      <w:r w:rsidR="002A2C49" w:rsidRPr="002A2C49">
        <w:rPr>
          <w:sz w:val="20"/>
        </w:rPr>
        <w:br w:type="page"/>
      </w:r>
    </w:p>
    <w:p w:rsidR="00A0524F" w:rsidRPr="002A2C49" w:rsidRDefault="00A0524F" w:rsidP="002A2C49">
      <w:pPr>
        <w:spacing w:line="240" w:lineRule="auto"/>
        <w:ind w:firstLine="0"/>
        <w:contextualSpacing/>
        <w:jc w:val="center"/>
        <w:rPr>
          <w:sz w:val="20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color w:val="FF0000"/>
          <w:sz w:val="24"/>
          <w:szCs w:val="24"/>
        </w:rPr>
      </w:pPr>
    </w:p>
    <w:tbl>
      <w:tblPr>
        <w:tblStyle w:val="a9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7668"/>
        <w:gridCol w:w="1916"/>
      </w:tblGrid>
      <w:tr w:rsidR="000A0B96" w:rsidRPr="002A2C49" w:rsidTr="007C62D1">
        <w:tc>
          <w:tcPr>
            <w:tcW w:w="10030" w:type="dxa"/>
            <w:gridSpan w:val="3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СОДЕРЖАНИЕ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1.</w:t>
            </w:r>
          </w:p>
        </w:tc>
        <w:tc>
          <w:tcPr>
            <w:tcW w:w="7668" w:type="dxa"/>
          </w:tcPr>
          <w:p w:rsidR="000A0B96" w:rsidRPr="002A2C49" w:rsidRDefault="00A03173" w:rsidP="002A2C49">
            <w:pPr>
              <w:spacing w:line="240" w:lineRule="auto"/>
              <w:ind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Общие положения</w:t>
            </w:r>
          </w:p>
        </w:tc>
        <w:tc>
          <w:tcPr>
            <w:tcW w:w="1916" w:type="dxa"/>
          </w:tcPr>
          <w:p w:rsidR="000A0B96" w:rsidRPr="007C62D1" w:rsidRDefault="00295AE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3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</w:t>
            </w:r>
          </w:p>
        </w:tc>
        <w:tc>
          <w:tcPr>
            <w:tcW w:w="7668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 xml:space="preserve">Содержание и организация </w:t>
            </w:r>
            <w:r w:rsidR="00A03173" w:rsidRPr="002A2C49">
              <w:rPr>
                <w:sz w:val="24"/>
                <w:szCs w:val="24"/>
              </w:rPr>
              <w:t>осуществления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4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2.1.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Предмет, цели и вопросы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4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2.2.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Критерии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5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0A0B96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2.3.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Существенность в стратегическом аудите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7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2.4.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Аудиторские доказательства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7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2.5.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color w:val="FF0000"/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Оценка рисков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8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2.6.</w:t>
            </w:r>
          </w:p>
        </w:tc>
        <w:tc>
          <w:tcPr>
            <w:tcW w:w="7668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Формы и подходы проведения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8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411787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3.</w:t>
            </w:r>
          </w:p>
        </w:tc>
        <w:tc>
          <w:tcPr>
            <w:tcW w:w="7668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Подготовительный этап</w:t>
            </w:r>
            <w:r w:rsidR="00411787" w:rsidRPr="002A2C49">
              <w:rPr>
                <w:sz w:val="24"/>
                <w:szCs w:val="24"/>
              </w:rPr>
              <w:t xml:space="preserve"> проведения мероприятий при осуществлении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9</w:t>
            </w:r>
          </w:p>
        </w:tc>
      </w:tr>
      <w:tr w:rsidR="000A0B96" w:rsidRPr="002A2C49" w:rsidTr="007C62D1">
        <w:tc>
          <w:tcPr>
            <w:tcW w:w="446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4.</w:t>
            </w:r>
          </w:p>
        </w:tc>
        <w:tc>
          <w:tcPr>
            <w:tcW w:w="7668" w:type="dxa"/>
          </w:tcPr>
          <w:p w:rsidR="000A0B96" w:rsidRPr="002A2C49" w:rsidRDefault="00105555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Основной этап</w:t>
            </w:r>
            <w:r w:rsidR="00411787" w:rsidRPr="002A2C49">
              <w:t xml:space="preserve"> </w:t>
            </w:r>
            <w:r w:rsidR="00411787" w:rsidRPr="002A2C49">
              <w:rPr>
                <w:sz w:val="24"/>
                <w:szCs w:val="24"/>
              </w:rPr>
              <w:t>проведения мероприятий при осуществлении стратегического аудита</w:t>
            </w:r>
          </w:p>
        </w:tc>
        <w:tc>
          <w:tcPr>
            <w:tcW w:w="1916" w:type="dxa"/>
          </w:tcPr>
          <w:p w:rsidR="000A0B96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10</w:t>
            </w:r>
          </w:p>
        </w:tc>
      </w:tr>
      <w:tr w:rsidR="00105555" w:rsidRPr="002A2C49" w:rsidTr="007C62D1">
        <w:tc>
          <w:tcPr>
            <w:tcW w:w="446" w:type="dxa"/>
          </w:tcPr>
          <w:p w:rsidR="00105555" w:rsidRPr="002A2C49" w:rsidRDefault="00411787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5.</w:t>
            </w:r>
          </w:p>
        </w:tc>
        <w:tc>
          <w:tcPr>
            <w:tcW w:w="7668" w:type="dxa"/>
          </w:tcPr>
          <w:p w:rsidR="00105555" w:rsidRPr="002A2C49" w:rsidRDefault="00105555" w:rsidP="002A2C49">
            <w:pPr>
              <w:spacing w:line="240" w:lineRule="auto"/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2A2C49">
              <w:rPr>
                <w:sz w:val="24"/>
                <w:szCs w:val="24"/>
              </w:rPr>
              <w:t>Заключительный этап</w:t>
            </w:r>
            <w:r w:rsidR="00411787" w:rsidRPr="002A2C49">
              <w:rPr>
                <w:sz w:val="24"/>
                <w:szCs w:val="24"/>
              </w:rPr>
              <w:t xml:space="preserve"> проведения мероприятий при осуществлении стратегического аудита</w:t>
            </w:r>
          </w:p>
        </w:tc>
        <w:tc>
          <w:tcPr>
            <w:tcW w:w="1916" w:type="dxa"/>
          </w:tcPr>
          <w:p w:rsidR="00105555" w:rsidRPr="007C62D1" w:rsidRDefault="007C62D1" w:rsidP="002A2C49">
            <w:pPr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7C62D1">
              <w:rPr>
                <w:sz w:val="24"/>
                <w:szCs w:val="24"/>
              </w:rPr>
              <w:t>11</w:t>
            </w:r>
          </w:p>
        </w:tc>
      </w:tr>
    </w:tbl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color w:val="FF0000"/>
          <w:sz w:val="24"/>
          <w:szCs w:val="24"/>
        </w:rPr>
      </w:pPr>
    </w:p>
    <w:tbl>
      <w:tblPr>
        <w:tblW w:w="10064" w:type="dxa"/>
        <w:tblInd w:w="14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6"/>
        <w:gridCol w:w="8368"/>
      </w:tblGrid>
      <w:tr w:rsidR="00D1068E" w:rsidRPr="002A2C49" w:rsidTr="007C62D1">
        <w:trPr>
          <w:trHeight w:val="480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57" w:type="dxa"/>
            </w:tcMar>
            <w:hideMark/>
          </w:tcPr>
          <w:p w:rsidR="00252A6C" w:rsidRPr="002A2C49" w:rsidRDefault="00252A6C" w:rsidP="002A2C49">
            <w:pPr>
              <w:widowControl w:val="0"/>
              <w:spacing w:line="240" w:lineRule="auto"/>
              <w:ind w:firstLine="0"/>
              <w:contextualSpacing/>
              <w:rPr>
                <w:snapToGrid w:val="0"/>
                <w:sz w:val="18"/>
                <w:szCs w:val="18"/>
              </w:rPr>
            </w:pPr>
            <w:r w:rsidRPr="002A2C49">
              <w:rPr>
                <w:snapToGrid w:val="0"/>
                <w:sz w:val="18"/>
                <w:szCs w:val="18"/>
              </w:rPr>
              <w:t>Приложение № 1</w:t>
            </w:r>
          </w:p>
          <w:p w:rsidR="009E05F1" w:rsidRPr="002A2C49" w:rsidRDefault="009E05F1" w:rsidP="002A2C49">
            <w:pPr>
              <w:widowControl w:val="0"/>
              <w:spacing w:line="240" w:lineRule="auto"/>
              <w:ind w:firstLine="0"/>
              <w:contextualSpacing/>
              <w:rPr>
                <w:snapToGrid w:val="0"/>
                <w:sz w:val="18"/>
                <w:szCs w:val="18"/>
              </w:rPr>
            </w:pPr>
          </w:p>
        </w:tc>
        <w:tc>
          <w:tcPr>
            <w:tcW w:w="8368" w:type="dxa"/>
            <w:hideMark/>
          </w:tcPr>
          <w:p w:rsidR="00252A6C" w:rsidRPr="002A2C49" w:rsidRDefault="00043C84" w:rsidP="002A2C49">
            <w:pPr>
              <w:widowControl w:val="0"/>
              <w:spacing w:line="240" w:lineRule="auto"/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2A2C49">
              <w:rPr>
                <w:sz w:val="18"/>
                <w:szCs w:val="18"/>
              </w:rPr>
              <w:t xml:space="preserve">Схема применения критериев </w:t>
            </w:r>
            <w:r w:rsidR="00411787" w:rsidRPr="002A2C49">
              <w:rPr>
                <w:sz w:val="18"/>
                <w:szCs w:val="18"/>
              </w:rPr>
              <w:t>стратегического аудита</w:t>
            </w:r>
          </w:p>
        </w:tc>
      </w:tr>
      <w:tr w:rsidR="00D1068E" w:rsidRPr="002A2C49" w:rsidTr="007C62D1">
        <w:trPr>
          <w:trHeight w:val="359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9E05F1" w:rsidRPr="002A2C49" w:rsidRDefault="00043C84" w:rsidP="002A2C49">
            <w:pPr>
              <w:widowControl w:val="0"/>
              <w:spacing w:line="240" w:lineRule="auto"/>
              <w:ind w:firstLine="0"/>
              <w:contextualSpacing/>
              <w:rPr>
                <w:snapToGrid w:val="0"/>
                <w:sz w:val="18"/>
                <w:szCs w:val="18"/>
              </w:rPr>
            </w:pPr>
            <w:r w:rsidRPr="002A2C49">
              <w:rPr>
                <w:snapToGrid w:val="0"/>
                <w:sz w:val="18"/>
                <w:szCs w:val="18"/>
              </w:rPr>
              <w:t>Приложение №2</w:t>
            </w:r>
          </w:p>
        </w:tc>
        <w:tc>
          <w:tcPr>
            <w:tcW w:w="8368" w:type="dxa"/>
          </w:tcPr>
          <w:p w:rsidR="009E05F1" w:rsidRPr="002A2C49" w:rsidRDefault="00043C84" w:rsidP="002A2C49">
            <w:pPr>
              <w:widowControl w:val="0"/>
              <w:spacing w:line="240" w:lineRule="auto"/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2A2C49">
              <w:rPr>
                <w:sz w:val="18"/>
                <w:szCs w:val="18"/>
              </w:rPr>
              <w:t xml:space="preserve">Матрица подготовительного этапа </w:t>
            </w:r>
            <w:r w:rsidR="00411787" w:rsidRPr="002A2C49">
              <w:rPr>
                <w:sz w:val="18"/>
                <w:szCs w:val="18"/>
              </w:rPr>
              <w:t>стратегического аудита (матрица дизайна)</w:t>
            </w:r>
          </w:p>
        </w:tc>
      </w:tr>
      <w:tr w:rsidR="00043C84" w:rsidRPr="002A2C49" w:rsidTr="007C62D1">
        <w:trPr>
          <w:trHeight w:val="314"/>
        </w:trPr>
        <w:tc>
          <w:tcPr>
            <w:tcW w:w="1696" w:type="dxa"/>
            <w:tcMar>
              <w:top w:w="0" w:type="dxa"/>
              <w:left w:w="0" w:type="dxa"/>
              <w:bottom w:w="0" w:type="dxa"/>
              <w:right w:w="57" w:type="dxa"/>
            </w:tcMar>
          </w:tcPr>
          <w:p w:rsidR="00043C84" w:rsidRPr="002A2C49" w:rsidRDefault="00043C84" w:rsidP="002A2C49">
            <w:pPr>
              <w:widowControl w:val="0"/>
              <w:spacing w:line="240" w:lineRule="auto"/>
              <w:ind w:firstLine="0"/>
              <w:contextualSpacing/>
              <w:rPr>
                <w:snapToGrid w:val="0"/>
                <w:sz w:val="18"/>
                <w:szCs w:val="18"/>
              </w:rPr>
            </w:pPr>
            <w:r w:rsidRPr="002A2C49">
              <w:rPr>
                <w:snapToGrid w:val="0"/>
                <w:sz w:val="18"/>
                <w:szCs w:val="18"/>
              </w:rPr>
              <w:t>Приложение №3</w:t>
            </w:r>
          </w:p>
        </w:tc>
        <w:tc>
          <w:tcPr>
            <w:tcW w:w="8368" w:type="dxa"/>
          </w:tcPr>
          <w:p w:rsidR="00043C84" w:rsidRPr="002A2C49" w:rsidRDefault="00043C84" w:rsidP="002A2C49">
            <w:pPr>
              <w:widowControl w:val="0"/>
              <w:spacing w:line="240" w:lineRule="auto"/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2A2C49">
              <w:rPr>
                <w:sz w:val="18"/>
                <w:szCs w:val="18"/>
              </w:rPr>
              <w:t>Матрица результатов</w:t>
            </w:r>
            <w:r w:rsidR="00411787" w:rsidRPr="002A2C49">
              <w:rPr>
                <w:sz w:val="18"/>
                <w:szCs w:val="18"/>
              </w:rPr>
              <w:t xml:space="preserve"> (по каждому вопросу мероприятия)</w:t>
            </w:r>
          </w:p>
        </w:tc>
      </w:tr>
    </w:tbl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252A6C" w:rsidRPr="002A2C49" w:rsidRDefault="00252A6C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411787" w:rsidRPr="002A2C49" w:rsidRDefault="00411787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535D2B" w:rsidRPr="002A2C49" w:rsidRDefault="00535D2B" w:rsidP="002A2C49">
      <w:pPr>
        <w:spacing w:line="240" w:lineRule="auto"/>
        <w:ind w:firstLine="0"/>
        <w:contextualSpacing/>
        <w:jc w:val="center"/>
        <w:rPr>
          <w:b/>
          <w:color w:val="FF0000"/>
          <w:sz w:val="24"/>
          <w:szCs w:val="24"/>
        </w:rPr>
      </w:pPr>
    </w:p>
    <w:p w:rsidR="002A2C49" w:rsidRDefault="002A2C49">
      <w:pPr>
        <w:spacing w:line="240" w:lineRule="auto"/>
        <w:ind w:firstLine="0"/>
        <w:jc w:val="left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br w:type="page"/>
      </w:r>
    </w:p>
    <w:p w:rsidR="00252A6C" w:rsidRPr="002A2C49" w:rsidRDefault="00295AE1" w:rsidP="009F69D1">
      <w:pPr>
        <w:ind w:firstLine="0"/>
        <w:contextualSpacing/>
        <w:jc w:val="center"/>
        <w:rPr>
          <w:b/>
          <w:sz w:val="24"/>
          <w:szCs w:val="24"/>
        </w:rPr>
      </w:pPr>
      <w:r w:rsidRPr="002A2C49">
        <w:rPr>
          <w:b/>
          <w:sz w:val="24"/>
          <w:szCs w:val="24"/>
        </w:rPr>
        <w:lastRenderedPageBreak/>
        <w:t>1. Общие положения</w:t>
      </w:r>
    </w:p>
    <w:p w:rsidR="00BF50CE" w:rsidRPr="002A2C49" w:rsidRDefault="00252A6C" w:rsidP="002A2C49">
      <w:pPr>
        <w:spacing w:line="240" w:lineRule="auto"/>
        <w:contextualSpacing/>
        <w:rPr>
          <w:color w:val="31849B" w:themeColor="accent5" w:themeShade="BF"/>
          <w:sz w:val="24"/>
          <w:szCs w:val="24"/>
        </w:rPr>
      </w:pPr>
      <w:r w:rsidRPr="002A2C49">
        <w:rPr>
          <w:sz w:val="24"/>
          <w:szCs w:val="24"/>
        </w:rPr>
        <w:t>1.1.</w:t>
      </w:r>
      <w:r w:rsidRPr="002A2C49">
        <w:rPr>
          <w:spacing w:val="-1"/>
          <w:sz w:val="24"/>
          <w:szCs w:val="24"/>
        </w:rPr>
        <w:t> </w:t>
      </w:r>
      <w:r w:rsidRPr="002A2C49">
        <w:rPr>
          <w:sz w:val="24"/>
          <w:szCs w:val="24"/>
        </w:rPr>
        <w:t>С</w:t>
      </w:r>
      <w:r w:rsidRPr="002A2C49">
        <w:rPr>
          <w:iCs/>
          <w:sz w:val="24"/>
          <w:szCs w:val="24"/>
        </w:rPr>
        <w:t xml:space="preserve">тандарт внешнего государственного финансового контроля Контрольно-счетной палаты Томской области </w:t>
      </w:r>
      <w:r w:rsidRPr="002A2C49">
        <w:rPr>
          <w:sz w:val="24"/>
          <w:szCs w:val="24"/>
        </w:rPr>
        <w:t>«</w:t>
      </w:r>
      <w:r w:rsidR="00295AE1" w:rsidRPr="002A2C49">
        <w:rPr>
          <w:sz w:val="24"/>
          <w:szCs w:val="24"/>
        </w:rPr>
        <w:t>Оценка реализуемости, рисков и результатов достижения целей социального экономического развития Томской области, предусмотренных документами стратегического планирования Томской области</w:t>
      </w:r>
      <w:r w:rsidRPr="002A2C49">
        <w:rPr>
          <w:sz w:val="24"/>
          <w:szCs w:val="24"/>
        </w:rPr>
        <w:t xml:space="preserve">» (далее – Стандарт) </w:t>
      </w:r>
      <w:r w:rsidR="00295AE1" w:rsidRPr="002A2C49">
        <w:rPr>
          <w:sz w:val="24"/>
          <w:szCs w:val="24"/>
        </w:rPr>
        <w:t>разработан на основании стат</w:t>
      </w:r>
      <w:r w:rsidR="0055518F" w:rsidRPr="002A2C49">
        <w:rPr>
          <w:sz w:val="24"/>
          <w:szCs w:val="24"/>
        </w:rPr>
        <w:t xml:space="preserve">ьи 11 Федерального закона от 07 февраля </w:t>
      </w:r>
      <w:r w:rsidR="00295AE1" w:rsidRPr="002A2C49">
        <w:rPr>
          <w:sz w:val="24"/>
          <w:szCs w:val="24"/>
        </w:rPr>
        <w:t xml:space="preserve">2011 </w:t>
      </w:r>
      <w:r w:rsidR="00B44CC6" w:rsidRPr="002A2C49">
        <w:rPr>
          <w:sz w:val="24"/>
          <w:szCs w:val="24"/>
        </w:rPr>
        <w:t xml:space="preserve">г. </w:t>
      </w:r>
      <w:r w:rsidR="00295AE1" w:rsidRPr="002A2C49">
        <w:rPr>
          <w:sz w:val="24"/>
          <w:szCs w:val="24"/>
        </w:rPr>
        <w:t>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статьи 1</w:t>
      </w:r>
      <w:r w:rsidR="00B44CC6" w:rsidRPr="002A2C49">
        <w:rPr>
          <w:sz w:val="24"/>
          <w:szCs w:val="24"/>
        </w:rPr>
        <w:t>4</w:t>
      </w:r>
      <w:r w:rsidR="00295AE1" w:rsidRPr="002A2C49">
        <w:rPr>
          <w:sz w:val="24"/>
          <w:szCs w:val="24"/>
        </w:rPr>
        <w:t xml:space="preserve"> Закона </w:t>
      </w:r>
      <w:r w:rsidR="00A0524F" w:rsidRPr="002A2C49">
        <w:rPr>
          <w:sz w:val="24"/>
          <w:szCs w:val="24"/>
        </w:rPr>
        <w:t>от 9 августа 2011 г. № 177-ОЗ «О Контрольно-счетной палате Томской области»</w:t>
      </w:r>
      <w:r w:rsidR="00A46F58">
        <w:rPr>
          <w:sz w:val="24"/>
          <w:szCs w:val="24"/>
        </w:rPr>
        <w:t xml:space="preserve"> (далее -</w:t>
      </w:r>
      <w:r w:rsidR="002E2707">
        <w:rPr>
          <w:sz w:val="24"/>
          <w:szCs w:val="24"/>
        </w:rPr>
        <w:t xml:space="preserve"> Закон № 177-ОЗ)</w:t>
      </w:r>
      <w:r w:rsidR="00295AE1" w:rsidRPr="002A2C49">
        <w:rPr>
          <w:sz w:val="24"/>
          <w:szCs w:val="24"/>
        </w:rPr>
        <w:t>, Общих требований к стандартам внешнего государственного и муниципального аудита (контроля) для проведения контрольных и экспертно</w:t>
      </w:r>
      <w:r w:rsidR="00F22326" w:rsidRPr="002A2C49">
        <w:rPr>
          <w:sz w:val="24"/>
          <w:szCs w:val="24"/>
        </w:rPr>
        <w:t>-</w:t>
      </w:r>
      <w:r w:rsidR="00295AE1" w:rsidRPr="002A2C49">
        <w:rPr>
          <w:sz w:val="24"/>
          <w:szCs w:val="24"/>
        </w:rPr>
        <w:t>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</w:t>
      </w:r>
      <w:r w:rsidR="00B44CC6" w:rsidRPr="002A2C49">
        <w:rPr>
          <w:sz w:val="24"/>
          <w:szCs w:val="24"/>
        </w:rPr>
        <w:t xml:space="preserve">латы Российской Федерации от 29 марта </w:t>
      </w:r>
      <w:r w:rsidR="00295AE1" w:rsidRPr="002A2C49">
        <w:rPr>
          <w:sz w:val="24"/>
          <w:szCs w:val="24"/>
        </w:rPr>
        <w:t>2022</w:t>
      </w:r>
      <w:r w:rsidR="00B44CC6" w:rsidRPr="002A2C49">
        <w:rPr>
          <w:sz w:val="24"/>
          <w:szCs w:val="24"/>
        </w:rPr>
        <w:t xml:space="preserve"> г.</w:t>
      </w:r>
      <w:r w:rsidR="00295AE1" w:rsidRPr="002A2C49">
        <w:rPr>
          <w:sz w:val="24"/>
          <w:szCs w:val="24"/>
        </w:rPr>
        <w:t xml:space="preserve"> № 2ПК</w:t>
      </w:r>
      <w:r w:rsidR="00295AE1" w:rsidRPr="002A2C49">
        <w:rPr>
          <w:color w:val="31849B" w:themeColor="accent5" w:themeShade="BF"/>
          <w:sz w:val="24"/>
          <w:szCs w:val="24"/>
        </w:rPr>
        <w:t xml:space="preserve">. </w:t>
      </w:r>
    </w:p>
    <w:p w:rsidR="00804957" w:rsidRPr="002A2C49" w:rsidRDefault="00804957" w:rsidP="002A2C49">
      <w:pPr>
        <w:spacing w:line="240" w:lineRule="auto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1.2. Стандарт предназначен для применения должностными лицами Контрольно-счетной палаты Томской области (далее – Контрольно-счетная палата, КСП Томской области) при организации и проведении контрольных и экспертно-аналитических мероприятий (далее также – мероприятия) при осуществлении полномочия по оценке реализуемости, рисков и результатов достижения целей социально-экономического развития Томской области, предусмотренных документами стратегического планирования Томской области, в пределах компетенции Контрольно-счетной палаты (далее – стратегический аудит).</w:t>
      </w:r>
    </w:p>
    <w:p w:rsidR="006A4E96" w:rsidRPr="002A2C49" w:rsidRDefault="006A4E96" w:rsidP="002A2C49">
      <w:pPr>
        <w:spacing w:line="240" w:lineRule="auto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1.3. Целью Стандарта является определение общих требований, которые должны выполняться Контрольно-счетной палатой при организации и проведении мероприятий при осуществлении стратегического аудита.</w:t>
      </w:r>
    </w:p>
    <w:p w:rsidR="00AA7803" w:rsidRPr="002A2C49" w:rsidRDefault="00252A6C" w:rsidP="002A2C49">
      <w:pPr>
        <w:pStyle w:val="32"/>
        <w:spacing w:line="240" w:lineRule="auto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</w:t>
      </w:r>
      <w:r w:rsidR="00804957" w:rsidRPr="002A2C49">
        <w:rPr>
          <w:sz w:val="24"/>
          <w:szCs w:val="24"/>
        </w:rPr>
        <w:t>4</w:t>
      </w:r>
      <w:r w:rsidRPr="002A2C49">
        <w:rPr>
          <w:sz w:val="24"/>
          <w:szCs w:val="24"/>
        </w:rPr>
        <w:t>.</w:t>
      </w:r>
      <w:r w:rsidRPr="002A2C49">
        <w:rPr>
          <w:spacing w:val="-1"/>
          <w:sz w:val="24"/>
          <w:szCs w:val="24"/>
        </w:rPr>
        <w:t> </w:t>
      </w:r>
      <w:r w:rsidR="00AA13AE" w:rsidRPr="002A2C49">
        <w:rPr>
          <w:sz w:val="24"/>
          <w:szCs w:val="24"/>
        </w:rPr>
        <w:t xml:space="preserve">Задачей Стандарта является определение характеристик, </w:t>
      </w:r>
      <w:r w:rsidR="006A4E96" w:rsidRPr="002A2C49">
        <w:rPr>
          <w:sz w:val="24"/>
          <w:szCs w:val="24"/>
        </w:rPr>
        <w:t xml:space="preserve">правил и </w:t>
      </w:r>
      <w:r w:rsidR="00AA13AE" w:rsidRPr="002A2C49">
        <w:rPr>
          <w:sz w:val="24"/>
          <w:szCs w:val="24"/>
        </w:rPr>
        <w:t xml:space="preserve">процедур организации и проведения мероприятий при осуществлении стратегического аудита, в том числе определение: </w:t>
      </w:r>
    </w:p>
    <w:p w:rsidR="00AA7803" w:rsidRPr="002A2C49" w:rsidRDefault="00AA7803" w:rsidP="009F69D1">
      <w:pPr>
        <w:pStyle w:val="32"/>
        <w:spacing w:line="240" w:lineRule="auto"/>
        <w:ind w:left="709" w:firstLine="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- </w:t>
      </w:r>
      <w:r w:rsidR="00AA13AE" w:rsidRPr="002A2C49">
        <w:rPr>
          <w:sz w:val="24"/>
          <w:szCs w:val="24"/>
        </w:rPr>
        <w:t>предмета, целей, вопросов</w:t>
      </w:r>
      <w:r w:rsidRPr="002A2C49">
        <w:rPr>
          <w:sz w:val="24"/>
          <w:szCs w:val="24"/>
        </w:rPr>
        <w:t xml:space="preserve"> стратегического аудита;</w:t>
      </w:r>
    </w:p>
    <w:p w:rsidR="00AA7803" w:rsidRPr="002A2C49" w:rsidRDefault="00AA7803" w:rsidP="009F69D1">
      <w:pPr>
        <w:pStyle w:val="32"/>
        <w:spacing w:line="240" w:lineRule="auto"/>
        <w:ind w:left="709" w:firstLine="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- </w:t>
      </w:r>
      <w:r w:rsidR="00AA13AE" w:rsidRPr="002A2C49">
        <w:rPr>
          <w:sz w:val="24"/>
          <w:szCs w:val="24"/>
        </w:rPr>
        <w:t>кр</w:t>
      </w:r>
      <w:r w:rsidRPr="002A2C49">
        <w:rPr>
          <w:sz w:val="24"/>
          <w:szCs w:val="24"/>
        </w:rPr>
        <w:t>итериев стратегического аудита;</w:t>
      </w:r>
    </w:p>
    <w:p w:rsidR="00AA7803" w:rsidRPr="002A2C49" w:rsidRDefault="00AA7803" w:rsidP="009F69D1">
      <w:pPr>
        <w:pStyle w:val="32"/>
        <w:spacing w:line="240" w:lineRule="auto"/>
        <w:ind w:left="709" w:firstLine="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- </w:t>
      </w:r>
      <w:r w:rsidR="00527624" w:rsidRPr="002A2C49">
        <w:rPr>
          <w:sz w:val="24"/>
          <w:szCs w:val="24"/>
        </w:rPr>
        <w:t xml:space="preserve">форм и </w:t>
      </w:r>
      <w:r w:rsidRPr="002A2C49">
        <w:rPr>
          <w:sz w:val="24"/>
          <w:szCs w:val="24"/>
        </w:rPr>
        <w:t>подходов проведения стратегического аудита;</w:t>
      </w:r>
    </w:p>
    <w:p w:rsidR="00AA7803" w:rsidRPr="002A2C49" w:rsidRDefault="00AA7803" w:rsidP="009F69D1">
      <w:pPr>
        <w:pStyle w:val="32"/>
        <w:spacing w:line="240" w:lineRule="auto"/>
        <w:ind w:left="709" w:firstLine="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- этапов проведения мероприятий при осуществлении стратегического аудита.</w:t>
      </w:r>
    </w:p>
    <w:p w:rsidR="00252A6C" w:rsidRPr="002A2C49" w:rsidRDefault="00252A6C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</w:t>
      </w:r>
      <w:r w:rsidR="00804957" w:rsidRPr="002A2C49">
        <w:rPr>
          <w:sz w:val="24"/>
          <w:szCs w:val="24"/>
        </w:rPr>
        <w:t>5</w:t>
      </w:r>
      <w:r w:rsidRPr="002A2C49">
        <w:rPr>
          <w:sz w:val="24"/>
          <w:szCs w:val="24"/>
        </w:rPr>
        <w:t xml:space="preserve">. </w:t>
      </w:r>
      <w:r w:rsidR="00AA7803" w:rsidRPr="002A2C49">
        <w:rPr>
          <w:sz w:val="24"/>
          <w:szCs w:val="24"/>
        </w:rPr>
        <w:t>При организации и проведении мероприятий при осуществлении стратегического аудита должностные лица Контрольно-счетной палаты обязаны руководствоваться Конституцией Российской Федерации, бюджетным законодательством Российской Федерации, иными нормативными правовыми актами Российской Федерации и Томской области, Регламентом Контрольно-счетной палаты, Стандартом, а также иными правовыми актами Контрольно-счетной палаты.</w:t>
      </w:r>
    </w:p>
    <w:p w:rsidR="00252A6C" w:rsidRPr="002A2C49" w:rsidRDefault="00252A6C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</w:t>
      </w:r>
      <w:r w:rsidR="00804957" w:rsidRPr="002A2C49">
        <w:rPr>
          <w:sz w:val="24"/>
          <w:szCs w:val="24"/>
        </w:rPr>
        <w:t>6</w:t>
      </w:r>
      <w:r w:rsidRPr="002A2C49">
        <w:rPr>
          <w:sz w:val="24"/>
          <w:szCs w:val="24"/>
        </w:rPr>
        <w:t xml:space="preserve">. </w:t>
      </w:r>
      <w:r w:rsidR="006A4E96" w:rsidRPr="002A2C49">
        <w:rPr>
          <w:spacing w:val="-1"/>
          <w:sz w:val="24"/>
          <w:szCs w:val="24"/>
        </w:rPr>
        <w:t>Решение вопросов, не урегулированных настоящим Стандартом, осуществляется председателем Контрольно-счетной палаты</w:t>
      </w:r>
      <w:r w:rsidR="00AA7803" w:rsidRPr="002A2C49">
        <w:rPr>
          <w:spacing w:val="-1"/>
          <w:sz w:val="24"/>
          <w:szCs w:val="24"/>
        </w:rPr>
        <w:t>.</w:t>
      </w:r>
    </w:p>
    <w:p w:rsidR="00AA7803" w:rsidRPr="002A2C49" w:rsidRDefault="00804957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1.7</w:t>
      </w:r>
      <w:r w:rsidR="00AA7803" w:rsidRPr="002A2C49">
        <w:rPr>
          <w:sz w:val="24"/>
          <w:szCs w:val="24"/>
        </w:rPr>
        <w:t>. Для целей настоящего Стандарта применяются следующие термины и определения: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1) стратегические цели – цели, установленные в документах стратегического планирования </w:t>
      </w:r>
      <w:r w:rsidR="006A4E96" w:rsidRPr="002A2C49">
        <w:rPr>
          <w:sz w:val="24"/>
          <w:szCs w:val="24"/>
        </w:rPr>
        <w:t>Томской</w:t>
      </w:r>
      <w:r w:rsidRPr="002A2C49">
        <w:rPr>
          <w:sz w:val="24"/>
          <w:szCs w:val="24"/>
        </w:rPr>
        <w:t xml:space="preserve"> области, разрабатываемых в</w:t>
      </w:r>
      <w:r w:rsidR="006A4E96" w:rsidRPr="002A2C49">
        <w:rPr>
          <w:sz w:val="24"/>
          <w:szCs w:val="24"/>
        </w:rPr>
        <w:t xml:space="preserve"> </w:t>
      </w:r>
      <w:r w:rsidRPr="002A2C49">
        <w:rPr>
          <w:sz w:val="24"/>
          <w:szCs w:val="24"/>
        </w:rPr>
        <w:t>рамках целеполагания, планирования и программирования на региональном уровне;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2) участники стратегического управления (объекты стратегического аудита) - участники стратегического планирования, а также иные органы и организации, в отношении которых Контрольно-счетная палата вправе осуществлять внешний государственный финансовый контроль в пределах своих полномочий, установленных </w:t>
      </w:r>
      <w:r w:rsidR="009F69D1">
        <w:rPr>
          <w:sz w:val="24"/>
          <w:szCs w:val="24"/>
        </w:rPr>
        <w:t>З</w:t>
      </w:r>
      <w:r w:rsidRPr="002A2C49">
        <w:rPr>
          <w:sz w:val="24"/>
          <w:szCs w:val="24"/>
        </w:rPr>
        <w:t xml:space="preserve">аконом № </w:t>
      </w:r>
      <w:r w:rsidR="006A4E96" w:rsidRPr="002A2C49">
        <w:rPr>
          <w:sz w:val="24"/>
          <w:szCs w:val="24"/>
        </w:rPr>
        <w:t>1</w:t>
      </w:r>
      <w:r w:rsidRPr="002A2C49">
        <w:rPr>
          <w:sz w:val="24"/>
          <w:szCs w:val="24"/>
        </w:rPr>
        <w:t>77-</w:t>
      </w:r>
      <w:r w:rsidR="006A4E96" w:rsidRPr="002A2C49">
        <w:rPr>
          <w:sz w:val="24"/>
          <w:szCs w:val="24"/>
        </w:rPr>
        <w:t>ОЗ</w:t>
      </w:r>
      <w:r w:rsidRPr="002A2C49">
        <w:rPr>
          <w:sz w:val="24"/>
          <w:szCs w:val="24"/>
        </w:rPr>
        <w:t>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3) прямое государственное воздействие - фактическая деятельность участников стратегического управления в рамках реализации своих функций и полномочий;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 xml:space="preserve">4) программно-целевой инструмент (далее - программа) - утвержденный участником стратегического управления, вышестоящим или иным уполномоченным органом (организацией), на определенный срок документ, определяющий стратегические цели и (или) разработанный для их реализации, содержащий мероприятия, финансовые и иные ресурсы, предусмотренные для </w:t>
      </w:r>
      <w:r w:rsidRPr="002A2C49">
        <w:rPr>
          <w:sz w:val="24"/>
          <w:szCs w:val="24"/>
        </w:rPr>
        <w:lastRenderedPageBreak/>
        <w:t>достижения стратегических целей, включая различные сферы (отрасли);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5) целевые группы - группы граждан, организаций, позиционируемые участниками стратегического управления в качестве выгодоприобретателей от реализации программ и (или) прямого государственного воздействия;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z w:val="24"/>
          <w:szCs w:val="24"/>
        </w:rPr>
      </w:pPr>
      <w:r w:rsidRPr="002A2C49">
        <w:rPr>
          <w:sz w:val="24"/>
          <w:szCs w:val="24"/>
        </w:rPr>
        <w:t>6) выгодоприобретатели - группы граждан, организаций, потребности или интересы которых целенаправленно или непреднамеренно затрагиваются программой и (или) прямым государственным воздействием;</w:t>
      </w:r>
    </w:p>
    <w:p w:rsidR="00252A6C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pacing w:val="-2"/>
          <w:sz w:val="24"/>
          <w:szCs w:val="24"/>
        </w:rPr>
      </w:pPr>
      <w:r w:rsidRPr="002A2C49">
        <w:rPr>
          <w:sz w:val="24"/>
          <w:szCs w:val="24"/>
        </w:rPr>
        <w:t>7) непосредственный результат - конкретные продукты, формируемые вследствие реализации программ и (или) прямого государственного воздействия и возможные для использования выгодоприобретателями. К непосредственным результатам относятся продукты всех видов деятельности участников стратегического управления, в том числе материальные ценности (объекты инфраструктуры, оказанные услуги и так далее) и нематериальные ценности (механизмы правового регулирования, интеллектуальные права и так далее), продукты законотворческой деятельности;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pacing w:val="-2"/>
          <w:sz w:val="24"/>
          <w:szCs w:val="24"/>
        </w:rPr>
      </w:pPr>
      <w:r w:rsidRPr="002A2C49">
        <w:rPr>
          <w:spacing w:val="-2"/>
          <w:sz w:val="24"/>
          <w:szCs w:val="24"/>
        </w:rPr>
        <w:t>8) конечный результат - совокупность значимых изменений, возникающих у выгодоприобретателей после использования непосредственных результатов;</w:t>
      </w:r>
    </w:p>
    <w:p w:rsidR="00AA7803" w:rsidRPr="002A2C49" w:rsidRDefault="00AA7803" w:rsidP="002A2C49">
      <w:pPr>
        <w:widowControl w:val="0"/>
        <w:tabs>
          <w:tab w:val="left" w:pos="283"/>
        </w:tabs>
        <w:spacing w:line="240" w:lineRule="auto"/>
        <w:ind w:firstLine="680"/>
        <w:contextualSpacing/>
        <w:rPr>
          <w:spacing w:val="-2"/>
          <w:sz w:val="24"/>
          <w:szCs w:val="24"/>
        </w:rPr>
      </w:pPr>
      <w:r w:rsidRPr="002A2C49">
        <w:rPr>
          <w:spacing w:val="-2"/>
          <w:sz w:val="24"/>
          <w:szCs w:val="24"/>
        </w:rPr>
        <w:t>9) итоговые эффекты - планируемые или фактические средне- и долгосрочные социально-экономические изменения. К итоговым эффектам относятся широкомасштабные изменения общегосударственного характера (состояния общества, общественных отношений, экономики и социальной сферы, системы государственного управления).</w:t>
      </w:r>
    </w:p>
    <w:p w:rsidR="009137A5" w:rsidRPr="002A2C49" w:rsidRDefault="009137A5" w:rsidP="002A2C49">
      <w:pPr>
        <w:shd w:val="clear" w:color="auto" w:fill="FFFFFF"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252A6C" w:rsidRPr="002A2C49" w:rsidRDefault="009137A5" w:rsidP="009F69D1">
      <w:pPr>
        <w:widowControl w:val="0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 Содержание и организация осуществления стратегического аудита</w:t>
      </w:r>
    </w:p>
    <w:p w:rsidR="00F22326" w:rsidRPr="002A2C49" w:rsidRDefault="00F22326" w:rsidP="009F69D1">
      <w:pPr>
        <w:widowControl w:val="0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2.1. Предмет, цели и вопросы стратегического аудита</w:t>
      </w:r>
    </w:p>
    <w:p w:rsidR="00F22326" w:rsidRPr="002A2C49" w:rsidRDefault="00F22326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2.1.1. К предмету стратегического аудита относится достижение стратегических целей, в том числе: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1) актуальные и прогнозируемые проблемы социально-экономического развития и их причины, ожидания целевых групп, связанные с достижением стратегических целей;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2) проекты программ, действующие и реализованные программы, деятельность участников стратегического управления по их инициированию (разработке), реализации и завершению, а также ожидаемые и фактические результаты программ (непосредственные результаты, конечные результаты, итоговые эффекты);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3) состояние отдельных элементов системы государственного управления, включая функционирование управленческих, финансово</w:t>
      </w:r>
      <w:r w:rsidR="008C7692" w:rsidRPr="002A2C49">
        <w:rPr>
          <w:snapToGrid w:val="0"/>
          <w:sz w:val="24"/>
          <w:szCs w:val="24"/>
        </w:rPr>
        <w:t>-</w:t>
      </w:r>
      <w:r w:rsidRPr="002A2C49">
        <w:rPr>
          <w:snapToGrid w:val="0"/>
          <w:sz w:val="24"/>
          <w:szCs w:val="24"/>
        </w:rPr>
        <w:t>бюджетных, информационно-телекоммуникационных, правовых и иных элементов системы государственного управления.</w:t>
      </w:r>
    </w:p>
    <w:p w:rsidR="00F22326" w:rsidRPr="002A2C49" w:rsidRDefault="00F22326" w:rsidP="002A2C49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В рамках предмета стратегического аудита также оценивается планируемая или фактическая деятельность объекта стратегического аудита, направленная на достижение стратегических целей, в пределах полномочий, установленных законодательством Российской Федерации и </w:t>
      </w:r>
      <w:r w:rsidR="008C7692" w:rsidRPr="002A2C49">
        <w:rPr>
          <w:snapToGrid w:val="0"/>
          <w:sz w:val="24"/>
          <w:szCs w:val="24"/>
        </w:rPr>
        <w:t xml:space="preserve">Томской </w:t>
      </w:r>
      <w:r w:rsidRPr="002A2C49">
        <w:rPr>
          <w:snapToGrid w:val="0"/>
          <w:sz w:val="24"/>
          <w:szCs w:val="24"/>
        </w:rPr>
        <w:t>области.</w:t>
      </w:r>
    </w:p>
    <w:p w:rsidR="00F22326" w:rsidRPr="002A2C49" w:rsidRDefault="00F22326" w:rsidP="002A2C49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2.1.2. Целями стратегического аудита являются: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1) оценка реализуемости стратегических целей, которая проводится для определения вероятности и возможности достижения стратегических целей посредством оценки соответствующих программ как на этапе их разработки, так и в процессе их реализации;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color w:val="FF0000"/>
          <w:sz w:val="24"/>
          <w:szCs w:val="24"/>
        </w:rPr>
      </w:pPr>
      <w:r w:rsidRPr="002A2C49">
        <w:rPr>
          <w:snapToGrid w:val="0"/>
          <w:sz w:val="24"/>
          <w:szCs w:val="24"/>
        </w:rPr>
        <w:t>2) оценка рисков достижения стратегических целей, которая включает анализ и оценку факторов, способных оказать негативное влияние на достижение стратегических целей, в том числе путем оценки документов стратегического планирования, разрабатываемых в рамках прогнозирования и целеполагания. Оценка рисков осуществляется в целях определения наличия и степени влияния внутренних и внешних условий (факторов) на достижение стратегических целей, включая, в том числе оценку рисков соответствующих</w:t>
      </w:r>
      <w:r w:rsidR="008C7692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программ и (или) прямого государственного воздействия, направленных на их достижение;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3) оценка результатов достижения стратегических целей, которая</w:t>
      </w:r>
      <w:r w:rsidR="008C7692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 xml:space="preserve">проводится для установления и оценки непосредственных и конечных результатов, а также итоговых эффектов, </w:t>
      </w:r>
      <w:r w:rsidRPr="002A2C49">
        <w:rPr>
          <w:snapToGrid w:val="0"/>
          <w:sz w:val="24"/>
          <w:szCs w:val="24"/>
        </w:rPr>
        <w:lastRenderedPageBreak/>
        <w:t xml:space="preserve">запланированных или полученных в ходе реализации программ и (или) осуществления прямого государственного воздействия, направленных на достижение стратегических целей. </w:t>
      </w:r>
    </w:p>
    <w:p w:rsidR="00F22326" w:rsidRPr="002A2C49" w:rsidRDefault="00F22326" w:rsidP="002A2C49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Оценка результатов достижения стратегических целей среди прочего включает: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оценку достижения (возможности достижения) по итогам реализации программы намеченных конечных результатов;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оценку того, стали (станут) ли результаты программы причиной значительных непреднамеренных изменений в сферах, затрагивающих интересы целевых групп и выгодоприобретателей;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оценку того, в какой степени программы или проекты программ дублируют или противоречат другим программам или отдельным действиям в рамках планируемого или реализуемого прямого государственного воздействия;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оценку надежности и актуальности показателей непосредственного результата, конечного результата и итогового эффекта программы или проекта программы, достоверности их фактических или целевых значений соответственно.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2.1.3. Вопросы стратегического аудита определяются по каждой цели и должны ей соответствовать. Вопросы стратегического аудита должны быть конкретными, нейтральными и позволять получить на них ответ.</w:t>
      </w:r>
      <w:r w:rsidR="00B225EE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Количество вопросов по каждой цели стратегического аудита должно быть сравнительно небольшим, но они должны быть существенными и важными.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2.1.4. Цели или вопросы стратегического аудита также могут быть направлены на оценку таких параметров, как целевые и прогнозные значения социально-экономического развития, предусмотренные программами, включая документы стратегического планирования, разрабатываемые в рамках целеполагания, прогнозирования, планирования и программирования, риски и значимость деятельности участников стратегического управления, актуальность программ для достижения стратегических целей, обоснованность стратегических целей и результатов, согласованность формируемой или сформированной системы стимулов, взаимная непротиворечивость и взаимодополняемость стратегических целей, прямых государственных воздействий и результатов, прямое причинно-следственное влияние прямых государственных воздействий на достижение стратегических целей, широта охвата распространенности результатов программ и (или) государственного воздействия с точки зрения территориального или отраслевого охвата, охвата различных целевых групп, устойчивость фактических или ожидаемых результатов и эффектов в долгосрочном периоде. Также в процессе постановки целей и формулирования вопросов могут быть определены иные аспекты стратегического аудита с учетом специфики сферы (предметной области), в которой осуществляет свою деятельность объект стратегического аудита.</w:t>
      </w:r>
    </w:p>
    <w:p w:rsidR="00F22326" w:rsidRPr="002A2C49" w:rsidRDefault="00F22326" w:rsidP="009F69D1">
      <w:pPr>
        <w:widowControl w:val="0"/>
        <w:tabs>
          <w:tab w:val="left" w:pos="284"/>
          <w:tab w:val="left" w:pos="9923"/>
        </w:tabs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2.1.5. К целям и вопросам стратегического аудита также относятся оценки планируемого (фактического) межотраслевого и (или) межведомственного влияния на конечные результаты и итоговые эффекты соответствующих программ и государственной политики в соответствующих сферах</w:t>
      </w:r>
      <w:r w:rsidR="00B225EE" w:rsidRPr="002A2C49">
        <w:rPr>
          <w:snapToGrid w:val="0"/>
          <w:sz w:val="24"/>
          <w:szCs w:val="24"/>
        </w:rPr>
        <w:t>.</w:t>
      </w:r>
    </w:p>
    <w:p w:rsidR="00B225EE" w:rsidRPr="002A2C49" w:rsidRDefault="00B225EE" w:rsidP="009F69D1">
      <w:pPr>
        <w:widowControl w:val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2.2. Критерии стратегического аудита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2.2.1. Критерии стратегического аудита обеспечивают контекст для оценки аудиторских доказательств</w:t>
      </w:r>
      <w:r w:rsidR="009C16E1" w:rsidRPr="002A2C49">
        <w:rPr>
          <w:rStyle w:val="af"/>
          <w:snapToGrid w:val="0"/>
          <w:sz w:val="24"/>
          <w:szCs w:val="24"/>
        </w:rPr>
        <w:footnoteReference w:id="1"/>
      </w:r>
      <w:r w:rsidRPr="002A2C49">
        <w:rPr>
          <w:snapToGrid w:val="0"/>
          <w:sz w:val="24"/>
          <w:szCs w:val="24"/>
        </w:rPr>
        <w:t xml:space="preserve"> и понимания результатов, выводов и рекомендаций стратегического аудита. Критерии стратегического аудита могут основываться на нормативных правовых документах, ожидаемых результатах, лучших практиках и иных эталонах для сравнения. Критерии стратегического аудита определяют требуемое состояние или ожидание в отношении аспекта предмета исследуемого в ходе стратегического аудита.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2.2.2. Критерии стратегического аудита могут при необходимости предварительно направляться и обсуждаться с представителями объекта стратегического аудита, в целях их более детальной проработки на подготовительном этапе по решению руководителя мероприятия до их включения в программу проведения мероприятия при осуществлении стратегического аудита.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2.2.3. Критерии стратегического аудита формулируются с учетом доступности и </w:t>
      </w:r>
      <w:r w:rsidRPr="002A2C49">
        <w:rPr>
          <w:snapToGrid w:val="0"/>
          <w:sz w:val="24"/>
          <w:szCs w:val="24"/>
        </w:rPr>
        <w:lastRenderedPageBreak/>
        <w:t>возможности (ограничений) применения методов, необходимых для их использования в стратегическом аудите.</w:t>
      </w:r>
      <w:r w:rsidR="0065199C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Критерии стратегического аудита формулируются в достаточном количестве для каждого вопроса мероприятия с учетом следующих требований: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уместность - результатом применения уместных критериев стратегического аудита является информация, дающая ответ на вопрос мероприятия или на один из аспектов вопроса мероприятия с учетом цели мероприятия;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полнота - критерии стратегического аудита являются полными, если информация, подготовленная в соответствии с такими критериями, отражает все важные факторы, которые могли бы повлиять на решения, принимаемые должностными лицами Контрольно-счетной палаты на основе такой информации. Полнота критериев стратегического аудита подразумевает наличие при необходимости контрольных количественных или качественных показателей, характеризующих полное раскрытие информации об исследуемом предмете (аспекте предмета);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надежность - надежными считаются критерии стратегического аудита, которые при применении в анало</w:t>
      </w:r>
      <w:r w:rsidR="009C16E1" w:rsidRPr="002A2C49">
        <w:rPr>
          <w:snapToGrid w:val="0"/>
          <w:sz w:val="24"/>
          <w:szCs w:val="24"/>
        </w:rPr>
        <w:t xml:space="preserve">гичных обстоятельствах разными </w:t>
      </w:r>
      <w:r w:rsidRPr="002A2C49">
        <w:rPr>
          <w:snapToGrid w:val="0"/>
          <w:sz w:val="24"/>
          <w:szCs w:val="24"/>
        </w:rPr>
        <w:t>должностными лицами Контрольно-счетной палаты позволяют выполнить последовательную оценку или измерение оцениваемого аспекта предмета стратегического аудита, включая при необходимости предоставление и раскрытие используемой информации;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нейтральность - результатом применения нейтральных критериев стратегического аудита является получение непредвзятой информации;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понятность - результатом применения понятных критериев стратегического аудита является получение информации, на основе которой делается суждение, доступное для понимания.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2.2.4. При проведении стратегического аудита применяются следующие </w:t>
      </w:r>
      <w:r w:rsidR="009C16E1" w:rsidRPr="002A2C49">
        <w:rPr>
          <w:snapToGrid w:val="0"/>
          <w:sz w:val="24"/>
          <w:szCs w:val="24"/>
        </w:rPr>
        <w:t>виды критериев</w:t>
      </w:r>
      <w:r w:rsidR="009C16E1" w:rsidRPr="002A2C49">
        <w:rPr>
          <w:rStyle w:val="af"/>
          <w:snapToGrid w:val="0"/>
          <w:sz w:val="24"/>
          <w:szCs w:val="24"/>
        </w:rPr>
        <w:footnoteReference w:id="2"/>
      </w:r>
      <w:r w:rsidR="009C16E1" w:rsidRPr="002A2C49">
        <w:rPr>
          <w:snapToGrid w:val="0"/>
          <w:sz w:val="24"/>
          <w:szCs w:val="24"/>
        </w:rPr>
        <w:t>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стратегической результативности определяют степень достижения (достижимости) непосредственных и конечных результатов, наличие логики достижения непосредственных и конечных результатов, значимость конечных результатов для целевых групп вследствие создания и функционирования соответствующих непосредственных результатов. При этом могут определяться полнота непосредственных и конечных результатов, достаточность их перечня, хронология (своевременность) получения, риски и возможности получения.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релевантности (актуальности) отражают, в какой степени непосредственные, конечные результаты программ, итоговые эффекты актуальны для достижения стратегических целей, удовлетворения потребностей, интересов и целей выгодоприобретателей, сохраняется ли соответствие приоритетам при изменении обстоятельств (гибкость и актуализация прямого государственного воздействия в части адаптации к существенным изменениям внешней среды).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обоснованности (доказательности) отражают, в какой степени и каким образом обосновано достижение целевых параметров стратегических целей, включая описание причин выбранных подходов к обоснованиям, описание предположений, источников данных, результатов анализа, иных способов проверки и подтверждения обоснований (доказательств).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согласованности отражают уровень комплексности и взаимной непротиворечивости (взаимодополняемости) программ и прямых государственных воздействий, осуществляемых различными участниками стратегического управления, степень скоординированности и сотрудничества по достижению стратегических целей.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охвата (масштаба) отражают степень распространенности непосредственных и конечных результатов, итоговых эффектов программ и прямого государственного воздействия с точки зрения территориального охвата, охвата различных целевых групп, охвата групп выгодоприобретателей и так далее.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Критерии влияния (вклада) отражают степень, в которой программа и (или) прямое государственное воздействие явились причиной или, как ожидается, послужат причиной значительных системных (структурных) социально-экономических последствий (эффектов). Такие критерии отражают причинно-следственные связи (трансформационные механизмы) программы, включая выявление социальных, экологических и экономических и иных последствий, которые </w:t>
      </w:r>
      <w:r w:rsidRPr="002A2C49">
        <w:rPr>
          <w:snapToGrid w:val="0"/>
          <w:sz w:val="24"/>
          <w:szCs w:val="24"/>
        </w:rPr>
        <w:lastRenderedPageBreak/>
        <w:t>являются более долгосрочными или более широкими по своему охвату, чем те, которые отражаются в критерии стратегической результативности. Критерии влияния предполагают описание целостных и устойчивых изменений в системах или нормах.</w:t>
      </w:r>
    </w:p>
    <w:p w:rsidR="00B225EE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Критерии устойчивости отражают степень, в которой достигнутые или ожидаемые конечные результаты и итоговые эффекты длятся или, как ожидается, будут длиться в долгосрочном периоде. Критерий устойчивости направлен на оценку финансового, экономического, социального, экологического и институционального потенциала устойчивости соответствующих результатов и эффектов, необходимого для поддержания и сохранения достигнутых положительных преобразований с течением времени.</w:t>
      </w:r>
    </w:p>
    <w:p w:rsidR="00F22326" w:rsidRPr="002A2C49" w:rsidRDefault="00B225EE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2.2.5. Схема применения критериев стратегического аудита представлена в приложении 1 к Стандарту.</w:t>
      </w:r>
    </w:p>
    <w:p w:rsidR="009C16E1" w:rsidRPr="002A2C49" w:rsidRDefault="009C16E1" w:rsidP="009F69D1">
      <w:pPr>
        <w:widowControl w:val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2.3. Существенность в стратегическом аудите</w:t>
      </w:r>
    </w:p>
    <w:p w:rsidR="009C16E1" w:rsidRPr="002A2C49" w:rsidRDefault="009C16E1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2.3.1. Существенность для целей стратегического аудита — это уровень важности и значительности вопросов, выводов, результатов, а также включаемых в итоговые документы по результатам мероприятия рекомендаций.</w:t>
      </w:r>
    </w:p>
    <w:p w:rsidR="009C16E1" w:rsidRPr="002A2C49" w:rsidRDefault="009C16E1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2.3.2. Результаты и выводы считаются существенными, если они соответственно по отдельности или в совокупности могут оказать влияние на принятие конкретных управленческих решений или изменение процедур их принятия.</w:t>
      </w:r>
    </w:p>
    <w:p w:rsidR="009C16E1" w:rsidRPr="002A2C49" w:rsidRDefault="009C16E1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2.3.3. Существенность рекомендаций, выдаваемых объектам стратегического аудита и иным заинтересованным органам и организациям по итогам мероприятий, определяет востребованность, а также вероятность их практического применения адресатом в работе, в том числе предполагающего изменение конкретных управленческих решений или процедур их принятия.</w:t>
      </w:r>
    </w:p>
    <w:p w:rsidR="009C16E1" w:rsidRPr="002A2C49" w:rsidRDefault="009C16E1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2.3.4. Повышенное внимание к существенности является одним из</w:t>
      </w:r>
      <w:r w:rsidR="001533D3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приоритетов мероприятия при осуществлении стратегического аудита на всех его этапах. Применение существенности позволяет делать взвешенные выводы с учетом особенностей социальных и политических аспектов предмета стратегического аудита, определения целей и вопросов стратегического аудита, критериев, оценки документации, аудиторских доказательств, управления рисками, связанными с получением неуместных или незначимых результатов, документирования результатов и формулирования выводов и рекомендаций.</w:t>
      </w:r>
    </w:p>
    <w:p w:rsidR="00B225EE" w:rsidRPr="002A2C49" w:rsidRDefault="009C16E1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2.3.5. Существенность в стратегическом аудите может содержать</w:t>
      </w:r>
      <w:r w:rsidR="001533D3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количественные и качественные аспекты. К количественным аспектам могут относиться, например, вопросы соотношения ожидаемых результатов от реализации рекомендаций и затрат на их реализацию. К качественным аспектам существенности могут относиться, например, вопросы потенциальной</w:t>
      </w:r>
      <w:r w:rsidR="001533D3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социально-экономической значимости для целевых групп.</w:t>
      </w:r>
    </w:p>
    <w:p w:rsidR="009C16E1" w:rsidRPr="002A2C49" w:rsidRDefault="009C16E1" w:rsidP="002A2C49">
      <w:pPr>
        <w:widowControl w:val="0"/>
        <w:spacing w:line="240" w:lineRule="auto"/>
        <w:contextualSpacing/>
        <w:rPr>
          <w:snapToGrid w:val="0"/>
          <w:color w:val="FF0000"/>
          <w:sz w:val="24"/>
          <w:szCs w:val="24"/>
        </w:rPr>
      </w:pPr>
    </w:p>
    <w:p w:rsidR="00D83D93" w:rsidRPr="002A2C49" w:rsidRDefault="00D83D93" w:rsidP="002A2C49">
      <w:pPr>
        <w:widowControl w:val="0"/>
        <w:spacing w:line="240" w:lineRule="auto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2.4. Аудиторские доказательства</w:t>
      </w:r>
    </w:p>
    <w:p w:rsidR="00D83D93" w:rsidRPr="002A2C49" w:rsidRDefault="00D83D93" w:rsidP="002A2C49">
      <w:pPr>
        <w:widowControl w:val="0"/>
        <w:spacing w:line="240" w:lineRule="auto"/>
        <w:contextualSpacing/>
        <w:jc w:val="center"/>
        <w:rPr>
          <w:snapToGrid w:val="0"/>
          <w:sz w:val="24"/>
          <w:szCs w:val="24"/>
        </w:rPr>
      </w:pPr>
    </w:p>
    <w:p w:rsidR="00D83D93" w:rsidRPr="002A2C49" w:rsidRDefault="00D83D93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2.4.1. Для достижения целей стратегического аудита, а также для подтверждения выводов и рекомендаций необходимо получить достаточные и надлежащие аудиторские доказательства с учетом положений стандартов Контрольно-счетной палаты Томской области</w:t>
      </w:r>
      <w:r w:rsidR="00FB188C" w:rsidRPr="002A2C49">
        <w:rPr>
          <w:snapToGrid w:val="0"/>
          <w:sz w:val="24"/>
          <w:szCs w:val="24"/>
        </w:rPr>
        <w:t>:</w:t>
      </w:r>
      <w:r w:rsidRPr="002A2C49">
        <w:rPr>
          <w:snapToGrid w:val="0"/>
          <w:sz w:val="24"/>
          <w:szCs w:val="24"/>
        </w:rPr>
        <w:t xml:space="preserve"> «Общие правила проведения контрольного мероприятия», </w:t>
      </w:r>
      <w:r w:rsidR="00FB188C" w:rsidRPr="002A2C49">
        <w:rPr>
          <w:snapToGrid w:val="0"/>
          <w:sz w:val="24"/>
          <w:szCs w:val="24"/>
        </w:rPr>
        <w:t>«Общие правила проведения экспертно-аналитического мероприятия</w:t>
      </w:r>
      <w:r w:rsidR="009F69D1">
        <w:rPr>
          <w:snapToGrid w:val="0"/>
          <w:sz w:val="24"/>
          <w:szCs w:val="24"/>
        </w:rPr>
        <w:t>»</w:t>
      </w:r>
      <w:r w:rsidR="00FB188C" w:rsidRPr="002A2C49">
        <w:rPr>
          <w:snapToGrid w:val="0"/>
          <w:sz w:val="24"/>
          <w:szCs w:val="24"/>
        </w:rPr>
        <w:t>.</w:t>
      </w:r>
    </w:p>
    <w:p w:rsidR="00D83D93" w:rsidRPr="002A2C49" w:rsidRDefault="00D83D93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2.4.2. При оценке достаточности доказательств могут быть использованы следующие подходы:</w:t>
      </w:r>
    </w:p>
    <w:p w:rsidR="00D83D93" w:rsidRPr="002A2C49" w:rsidRDefault="00D83D93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чем выше аудиторский риск</w:t>
      </w:r>
      <w:r w:rsidRPr="002A2C49">
        <w:rPr>
          <w:rStyle w:val="af"/>
          <w:snapToGrid w:val="0"/>
          <w:sz w:val="24"/>
          <w:szCs w:val="24"/>
        </w:rPr>
        <w:footnoteReference w:id="3"/>
      </w:r>
      <w:r w:rsidRPr="002A2C49">
        <w:rPr>
          <w:snapToGrid w:val="0"/>
          <w:sz w:val="24"/>
          <w:szCs w:val="24"/>
        </w:rPr>
        <w:t>, тем выше требования к количеству (достаточность) и качеству (насколько являются надлежащими) доказательств;</w:t>
      </w:r>
    </w:p>
    <w:p w:rsidR="00D83D93" w:rsidRPr="002A2C49" w:rsidRDefault="00D83D93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наличие большого количества аудиторских доказательств не компенсирует недостаток </w:t>
      </w:r>
      <w:r w:rsidRPr="002A2C49">
        <w:rPr>
          <w:snapToGrid w:val="0"/>
          <w:sz w:val="24"/>
          <w:szCs w:val="24"/>
        </w:rPr>
        <w:lastRenderedPageBreak/>
        <w:t>уместности</w:t>
      </w:r>
      <w:r w:rsidRPr="002A2C49">
        <w:rPr>
          <w:rStyle w:val="af"/>
          <w:snapToGrid w:val="0"/>
          <w:sz w:val="24"/>
          <w:szCs w:val="24"/>
        </w:rPr>
        <w:footnoteReference w:id="4"/>
      </w:r>
      <w:r w:rsidRPr="002A2C49">
        <w:rPr>
          <w:snapToGrid w:val="0"/>
          <w:sz w:val="24"/>
          <w:szCs w:val="24"/>
        </w:rPr>
        <w:t>, валидности</w:t>
      </w:r>
      <w:r w:rsidRPr="002A2C49">
        <w:rPr>
          <w:rStyle w:val="af"/>
          <w:snapToGrid w:val="0"/>
          <w:sz w:val="24"/>
          <w:szCs w:val="24"/>
        </w:rPr>
        <w:footnoteReference w:id="5"/>
      </w:r>
      <w:r w:rsidRPr="002A2C49">
        <w:rPr>
          <w:snapToGrid w:val="0"/>
          <w:sz w:val="24"/>
          <w:szCs w:val="24"/>
        </w:rPr>
        <w:t xml:space="preserve"> или надежности</w:t>
      </w:r>
      <w:r w:rsidRPr="002A2C49">
        <w:rPr>
          <w:rStyle w:val="af"/>
          <w:snapToGrid w:val="0"/>
          <w:sz w:val="24"/>
          <w:szCs w:val="24"/>
        </w:rPr>
        <w:footnoteReference w:id="6"/>
      </w:r>
      <w:r w:rsidRPr="002A2C49">
        <w:rPr>
          <w:snapToGrid w:val="0"/>
          <w:sz w:val="24"/>
          <w:szCs w:val="24"/>
        </w:rPr>
        <w:t>;</w:t>
      </w:r>
    </w:p>
    <w:p w:rsidR="00D83D93" w:rsidRPr="002A2C49" w:rsidRDefault="00D83D93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обычно требуется больше аудиторских доказательств, когда представители объекта стратегического аудита имеют другое (отличное от мнения должностных лиц Контрольно-счетной палаты) мнение.</w:t>
      </w:r>
    </w:p>
    <w:p w:rsidR="0028255D" w:rsidRPr="002A2C49" w:rsidRDefault="0028255D" w:rsidP="009F69D1">
      <w:pPr>
        <w:widowControl w:val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2.5. Оценка рисков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2.5.1. Оценка рисков достижения стратегических целей, предусмотренных программами, может рассматриваться в качестве одной из целей стратегического аудита.</w:t>
      </w:r>
    </w:p>
    <w:p w:rsidR="00E475EF" w:rsidRPr="002A2C49" w:rsidRDefault="00E475E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Оценка рисков достижения стратегических целей включает анализ и оценку факторов, способных оказать негативное влияние на достижение стратегических целей, в том числе путем оценки документов стратегического планирования, разрабатываемых в рамках прогнозирования и целеполагания. Оценка рисков осуществляется в целях определения наличия и степени влияния внутренних и внешних условий (факторов) на достижение стратегических целей, включая в том числе оценку рисков соответствующих программ или прямого государственного воздействия, направленных на их достижение.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2.5.2. Под риском в рамках Стандарта понимается влияние неопределенности на достижение стратегических целей.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2.5.3. Целями оценки рисков являются:</w:t>
      </w:r>
    </w:p>
    <w:p w:rsidR="00D83D93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выявление потенциальных областей, ситуаций, препятствующих достижению стратегических целей;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определение рисков и анализ тех, которые являются наиболее важными и критичными для достижения стратегических целей;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выявление наличия системы управления рисками у </w:t>
      </w:r>
      <w:r w:rsidR="00E475EF" w:rsidRPr="002A2C49">
        <w:rPr>
          <w:snapToGrid w:val="0"/>
          <w:sz w:val="24"/>
          <w:szCs w:val="24"/>
        </w:rPr>
        <w:t xml:space="preserve">объекта стратегического аудита </w:t>
      </w:r>
      <w:r w:rsidRPr="002A2C49">
        <w:rPr>
          <w:snapToGrid w:val="0"/>
          <w:sz w:val="24"/>
          <w:szCs w:val="24"/>
        </w:rPr>
        <w:t>и проведение первоначальной оценки уровня зрелости системы управления рисками</w:t>
      </w:r>
      <w:r w:rsidR="00E475EF" w:rsidRPr="002A2C49">
        <w:rPr>
          <w:snapToGrid w:val="0"/>
          <w:sz w:val="24"/>
          <w:szCs w:val="24"/>
        </w:rPr>
        <w:t xml:space="preserve"> объекта стратегического аудита</w:t>
      </w:r>
      <w:r w:rsidRPr="002A2C49">
        <w:rPr>
          <w:snapToGrid w:val="0"/>
          <w:sz w:val="24"/>
          <w:szCs w:val="24"/>
        </w:rPr>
        <w:t>, формирование рекомендаций по созданию, совершенствованию системы управления рисками объекта с</w:t>
      </w:r>
      <w:r w:rsidR="00E475EF" w:rsidRPr="002A2C49">
        <w:rPr>
          <w:snapToGrid w:val="0"/>
          <w:sz w:val="24"/>
          <w:szCs w:val="24"/>
        </w:rPr>
        <w:t>тратегического аудита</w:t>
      </w:r>
      <w:r w:rsidRPr="002A2C49">
        <w:rPr>
          <w:snapToGrid w:val="0"/>
          <w:sz w:val="24"/>
          <w:szCs w:val="24"/>
        </w:rPr>
        <w:t>;</w:t>
      </w:r>
    </w:p>
    <w:p w:rsidR="0028255D" w:rsidRPr="002A2C49" w:rsidRDefault="0028255D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анализ того, какие мероприятия планирует, осуществляет объект стратегического аудита для минимизации рисков, формирование рекомендаций по совершенствованию, выработке мер по уменьшению рисков.</w:t>
      </w:r>
    </w:p>
    <w:p w:rsidR="00527624" w:rsidRPr="002A2C49" w:rsidRDefault="00527624" w:rsidP="009F69D1">
      <w:pPr>
        <w:widowControl w:val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2.6. Формы и подходы проведения стратегического аудита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2.6.1. Стратегический аудит может осуществляться как в качестве отдельного контрольного или экспертно-аналитического мероприятия, так и в ходе контрольного или экспертно-аналитического мероприятия, одним из вопросов программы которого является осуществление стратегического аудита.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2.6.2. Формы и методы осуществления Контрольно-счетной палатой стратегического аудита определяются Контрольно-счетной палатой самостоятельно.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При осуществлении стратегического аудита могут применяться такие методы государственного финансового контроля как проверка, ревизия, обследование, конкретное сочетание которых зависит от целей мероприятия.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2.6.3. При осуществлении стратегического аудита может проводиться: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оценка реализуемости стратегических целей, достижение которых предусматривается соответствующими программами (на стадиях разработки или реализации программ). При этом могут учитываться результаты экспертиз, проводимых Контрольно-счетной палатой, оценка запланированных или реализующихся мер прямого государственного воздействия;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- контроль и оценка текущего достижения стратегических целей, мониторинг рисков и факторов их реализации для формирования оперативного прогноза влияния внутренних и </w:t>
      </w:r>
      <w:r w:rsidRPr="002A2C49">
        <w:rPr>
          <w:snapToGrid w:val="0"/>
          <w:sz w:val="24"/>
          <w:szCs w:val="24"/>
        </w:rPr>
        <w:lastRenderedPageBreak/>
        <w:t>внешних условий, в том числе рисков, на достижение стратегических целей программ (в ходе мониторинга реализации программ);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- контроль и оценка результативности достижения стратегических целей посредством проверки и анализа фактического уровня достижения целевых значений показателей (индикаторов) соответствующих программ, оценки</w:t>
      </w:r>
      <w:r w:rsidR="0076600D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 xml:space="preserve">итоговых эффектов от реализации стратегических целей, в том числе с учетом фактических непосредственных и конечных результатов прямого государственного воздействия, иных внешних и внутренних факторов и условий. 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2.6.4. Стратегический аудит может проводиться в рамках одного или нескольких следующих подходов: 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1) системно-ориентированный подход, в рамках которого анализируется надлежащее функционирование различных систем управления или элементов соответствующих систем, обеспечивающих соответствие предмета стратегического аудита установленным критериям (например, систем мониторинга показателей и оценки эффективности (результативности), системы управления рисками, проектной деятельности и так далее);</w:t>
      </w:r>
    </w:p>
    <w:p w:rsidR="00527624" w:rsidRPr="002A2C49" w:rsidRDefault="00527624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2) проблемно-ориентированный подход, в рамках которого анализируется наличие проблем (предполагаемых отклонений от критериев), устанавливаются соответствующие причины их возникновения, формулируются рекомендации, направленные на устранение причин возникновения данных проблем;</w:t>
      </w:r>
    </w:p>
    <w:p w:rsidR="00527624" w:rsidRDefault="00527624" w:rsidP="009F69D1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3) результат-ориентированный подход, в рамках которого анализируются фактические или ожидаемые непосредственные или конечные результаты на основе установления критериев и отклонений от них и формулируются рекомендации, направленные на то, чтобы подобные отклонения были исключены.</w:t>
      </w:r>
    </w:p>
    <w:p w:rsidR="00A46F58" w:rsidRDefault="00A46F58" w:rsidP="009F69D1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2.6.5. Организация и проведение мероприятий при осуществлении стратегического аудита проводится в три этапа: подготовительный этап, основной этап, заключительный этап. </w:t>
      </w:r>
    </w:p>
    <w:p w:rsidR="009F69D1" w:rsidRPr="009F69D1" w:rsidRDefault="009F69D1" w:rsidP="009F69D1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</w:p>
    <w:p w:rsidR="005E446B" w:rsidRPr="002A2C49" w:rsidRDefault="005E446B" w:rsidP="009F69D1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 xml:space="preserve">3. Подготовительный этап проведения мероприятия при осуществлении </w:t>
      </w:r>
    </w:p>
    <w:p w:rsidR="00D005DF" w:rsidRDefault="005E446B" w:rsidP="009F69D1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стратегического аудита</w:t>
      </w:r>
    </w:p>
    <w:p w:rsidR="009F69D1" w:rsidRPr="002A2C49" w:rsidRDefault="009F69D1" w:rsidP="009F69D1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3.1. Предварительное исследование на подготовительном этапе помогает определить наиболее ценную информацию и имеющиеся данные о предмете стратегического аудита и его аспектах, подобрать необходимые методы для анализа, тем самым оптимизировать грани</w:t>
      </w:r>
      <w:r w:rsidR="00D005DF" w:rsidRPr="002A2C49">
        <w:rPr>
          <w:snapToGrid w:val="0"/>
          <w:sz w:val="24"/>
          <w:szCs w:val="24"/>
        </w:rPr>
        <w:t>цы и объем аудиторских процедур</w:t>
      </w:r>
      <w:r w:rsidR="00D005DF" w:rsidRPr="002A2C49">
        <w:rPr>
          <w:rStyle w:val="af"/>
          <w:snapToGrid w:val="0"/>
          <w:sz w:val="24"/>
          <w:szCs w:val="24"/>
        </w:rPr>
        <w:footnoteReference w:id="7"/>
      </w:r>
      <w:r w:rsidRPr="002A2C49">
        <w:rPr>
          <w:snapToGrid w:val="0"/>
          <w:sz w:val="24"/>
          <w:szCs w:val="24"/>
        </w:rPr>
        <w:t xml:space="preserve">. </w:t>
      </w:r>
      <w:r w:rsidR="00D005DF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 xml:space="preserve">По итогам предварительного исследования могут составляться </w:t>
      </w:r>
      <w:r w:rsidRPr="009F69D1">
        <w:rPr>
          <w:snapToGrid w:val="0"/>
          <w:sz w:val="24"/>
          <w:szCs w:val="24"/>
        </w:rPr>
        <w:t xml:space="preserve">карты данных и </w:t>
      </w:r>
      <w:r w:rsidRPr="002A2C49">
        <w:rPr>
          <w:snapToGrid w:val="0"/>
          <w:sz w:val="24"/>
          <w:szCs w:val="24"/>
        </w:rPr>
        <w:t>матрица подготовительного этапа стратегического аудита (далее - матрица дизайна), где определяются в том числе цели, вопросы и критерии стратегического аудита, методы (количественные, качественные), ограничения, ожидаемые результаты стратегического аудита, предварительные выводы и рекомендации. Для удобства указанные элементы рекомендуется систематизировать в табличной форме в виде матрицы дизайна стратегического аудита, которая включается в рабочую документацию (приложение 2 к Стандарту).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3.2. Надлежащая матрица дизайна отвечает следующим требованиям: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позволяет полно раскрывать поставленные вопросы в контексте проведения стратегического аудита, принимать во внимание возможные ограничения методов и данных;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соответствует требованиям к точности, полноте и убедительности информации, необходимой для ответа на вопросы стратегического аудита и удовлетворения потребностей пользователей отчета;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вписывается в текущие ограничения по времени, трудовым и иным ресурсам;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основывается на надежных и достоверных данных (отсутствие систематических ошибок и искажений, способных привести к неточным выводам).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3.3. Необходимо провести валидацию (проверку полноты, корректности, логической связанности элементов) матрицы дизайна стратегического аудита.</w:t>
      </w:r>
      <w:r w:rsidR="00D005DF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 xml:space="preserve">Особое значение на этом этапе </w:t>
      </w:r>
      <w:r w:rsidRPr="002A2C49">
        <w:rPr>
          <w:snapToGrid w:val="0"/>
          <w:sz w:val="24"/>
          <w:szCs w:val="24"/>
        </w:rPr>
        <w:lastRenderedPageBreak/>
        <w:t>имеют анализ доступности (включая необходимый формат, состав, уровень агрегации), надежности данных для целей проведения стратегического аудита, уточнение процедур сбора (методологии расчета) и хранения данных в течение периода проведения мероприятия, оценка того, позволяют ли данные и методы их анализа получить ответ, соответствующий вопросу мероприятия, обеспечить необходимый охват предмета мероприятия стратегическим аудитом.</w:t>
      </w:r>
    </w:p>
    <w:p w:rsidR="005E446B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3.4. Уточненная и дополненная по итогам валидации матрица дизайна включается в рабочую документацию, на ее основе </w:t>
      </w:r>
      <w:r w:rsidR="00C41E82" w:rsidRPr="002A2C49">
        <w:rPr>
          <w:snapToGrid w:val="0"/>
          <w:sz w:val="24"/>
          <w:szCs w:val="24"/>
        </w:rPr>
        <w:t>в случаях и порядке, предусмотренных стандартами внешнего государственного финансового контроля КСП Томской области «Общие правила проведения контрольного мероприятия» и «Общие правила проведения экспертно-аналитического мероприятия», разрабатывае</w:t>
      </w:r>
      <w:r w:rsidRPr="002A2C49">
        <w:rPr>
          <w:snapToGrid w:val="0"/>
          <w:sz w:val="24"/>
          <w:szCs w:val="24"/>
        </w:rPr>
        <w:t>тся программа проведения мероприятия</w:t>
      </w:r>
      <w:r w:rsidR="00C41E82" w:rsidRPr="002A2C49">
        <w:rPr>
          <w:snapToGrid w:val="0"/>
          <w:sz w:val="24"/>
          <w:szCs w:val="24"/>
        </w:rPr>
        <w:t xml:space="preserve"> по стратегическому аудиту</w:t>
      </w:r>
      <w:r w:rsidRPr="002A2C49">
        <w:rPr>
          <w:snapToGrid w:val="0"/>
          <w:sz w:val="24"/>
          <w:szCs w:val="24"/>
        </w:rPr>
        <w:t xml:space="preserve"> (далее - программа мероприятия). </w:t>
      </w:r>
    </w:p>
    <w:p w:rsidR="00C41E82" w:rsidRPr="002A2C49" w:rsidRDefault="005E446B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3.5. Программа мероприятия является основой, определяющей набор рабочей документации, формируемой в ходе проведения основного этапа, а также при подготовке заключительного этапа и подготовке отчета по результатам стратегического аудита. Руководитель мероприятия в ходе проведения мероприятия проверяет и оценивает соответствие работы, выполняемой должностными лицами Контрольно-счетной палаты и внешними экспертами (в случае их привлечения), программе мероприятия.</w:t>
      </w:r>
    </w:p>
    <w:p w:rsidR="00C41E82" w:rsidRPr="002A2C49" w:rsidRDefault="00C41E82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3.6. </w:t>
      </w:r>
      <w:r w:rsidR="004C541A" w:rsidRPr="002A2C49">
        <w:rPr>
          <w:snapToGrid w:val="0"/>
          <w:sz w:val="24"/>
          <w:szCs w:val="24"/>
        </w:rPr>
        <w:t>Программа мероприятия является основой для проведения стратегического аудита и определяет все необходимые действия, ресурсы и документацию на всех этапах стратегического аудита.</w:t>
      </w:r>
    </w:p>
    <w:p w:rsidR="005E446B" w:rsidRPr="002A2C49" w:rsidRDefault="00A46F58" w:rsidP="00A46F58">
      <w:pPr>
        <w:widowControl w:val="0"/>
        <w:tabs>
          <w:tab w:val="left" w:pos="709"/>
          <w:tab w:val="left" w:pos="851"/>
          <w:tab w:val="left" w:pos="1134"/>
        </w:tabs>
        <w:spacing w:line="240" w:lineRule="auto"/>
        <w:contextualSpacing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3.7. </w:t>
      </w:r>
      <w:r w:rsidR="004C541A" w:rsidRPr="002A2C49">
        <w:rPr>
          <w:snapToGrid w:val="0"/>
          <w:sz w:val="24"/>
          <w:szCs w:val="24"/>
        </w:rPr>
        <w:t>После подписания программы мероприятия ответственным исполнителем осуществляется подготовка рабочего плана.</w:t>
      </w:r>
    </w:p>
    <w:p w:rsidR="004C541A" w:rsidRPr="002A2C49" w:rsidRDefault="004C541A" w:rsidP="002A2C49">
      <w:pPr>
        <w:widowControl w:val="0"/>
        <w:spacing w:line="240" w:lineRule="auto"/>
        <w:ind w:firstLine="0"/>
        <w:contextualSpacing/>
        <w:rPr>
          <w:b/>
          <w:snapToGrid w:val="0"/>
          <w:color w:val="FF0000"/>
          <w:sz w:val="24"/>
          <w:szCs w:val="24"/>
        </w:rPr>
      </w:pP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 xml:space="preserve">4. Основной этап проведения мероприятия при осуществлении </w:t>
      </w: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стратегического аудита</w:t>
      </w: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4.1. В процессе сбора фактических данных и информации на основном этапе, как правило, проводится значительный объем аналитических процедур, изучаются данные и результаты проведенных ранее мероприятий.</w:t>
      </w: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4.2. Использование данных из различных источников повышает надежность результатов. С возрастанием сложности вопроса стратегического аудита возрастает потребность в использовании не одного, а нескольких способов (методов) для ответа на него и использовании нескольких источников информации и данных. Для таких ситуаций рекомендуется применять комбинацию</w:t>
      </w:r>
      <w:r w:rsidRPr="002A2C49">
        <w:rPr>
          <w:b/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из различных методов сбора, анализа, обработки и интерпретации данных (информации) в целях всестороннего независимого подтверждения результатов (метод триангуляции).</w:t>
      </w: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4.3. Результаты и информация, полученные в ходе стратегического аудита, а также сформулированные выводы и рекомендации в разрезе каждого вопроса мероприятия рекомендуется систематизировать в табличной форме в виде матрицы результатов стратегического аудита (далее - матрица результатов), представляющей собой элемент рабочей документации для сбора основных составляющих частей отчета в структурированном виде (приложение 3 к Стандарту).</w:t>
      </w: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4.4. В ходе проведения стратегического аудита обнаруженные факты сравниваются с выбранными критериями, наблюдаемые различия представляют собой подтвержденные доказательствами результаты.</w:t>
      </w: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4.5. После характеристики результатов необходимо определить причины и последствия наблюдаемой стратегической результативности (или иного</w:t>
      </w:r>
      <w:r w:rsidR="009562A8" w:rsidRPr="002A2C49">
        <w:rPr>
          <w:snapToGrid w:val="0"/>
          <w:sz w:val="24"/>
          <w:szCs w:val="24"/>
        </w:rPr>
        <w:t xml:space="preserve"> </w:t>
      </w:r>
      <w:r w:rsidRPr="002A2C49">
        <w:rPr>
          <w:snapToGrid w:val="0"/>
          <w:sz w:val="24"/>
          <w:szCs w:val="24"/>
        </w:rPr>
        <w:t>критерия). Как правило, данные процедуры проводятся в завершение основного этапа, но в зависимости от сложности предмета и особенностей получения аудиторских доказательств анализ может проводиться на заключительном этапе.</w:t>
      </w:r>
    </w:p>
    <w:p w:rsidR="00D005DF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4.6. Валидация матрицы результатов проводится по аналогии с валидацией матрицы дизайна стратегического аудита в целях обсуждения основных результатов и выводов, достаточности аудиторских доказательств, адекватности выбранных методов анализа и </w:t>
      </w:r>
      <w:r w:rsidRPr="002A2C49">
        <w:rPr>
          <w:snapToGrid w:val="0"/>
          <w:sz w:val="24"/>
          <w:szCs w:val="24"/>
        </w:rPr>
        <w:lastRenderedPageBreak/>
        <w:t>уместности предложений (рекомендаций).</w:t>
      </w:r>
    </w:p>
    <w:p w:rsidR="005E446B" w:rsidRPr="002A2C49" w:rsidRDefault="00D005DF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4.7. </w:t>
      </w:r>
      <w:r w:rsidR="00035782" w:rsidRPr="002A2C49">
        <w:rPr>
          <w:snapToGrid w:val="0"/>
          <w:sz w:val="24"/>
          <w:szCs w:val="24"/>
        </w:rPr>
        <w:t>При осуществлении стратегического аудита п</w:t>
      </w:r>
      <w:r w:rsidRPr="002A2C49">
        <w:rPr>
          <w:snapToGrid w:val="0"/>
          <w:sz w:val="24"/>
          <w:szCs w:val="24"/>
        </w:rPr>
        <w:t xml:space="preserve">о результатам основного этапа </w:t>
      </w:r>
      <w:r w:rsidR="00035782" w:rsidRPr="002A2C49">
        <w:rPr>
          <w:snapToGrid w:val="0"/>
          <w:sz w:val="24"/>
          <w:szCs w:val="24"/>
        </w:rPr>
        <w:t xml:space="preserve">контрольного </w:t>
      </w:r>
      <w:r w:rsidR="009F69D1">
        <w:rPr>
          <w:snapToGrid w:val="0"/>
          <w:sz w:val="24"/>
          <w:szCs w:val="24"/>
        </w:rPr>
        <w:t>мероприятия оформляется акт; п</w:t>
      </w:r>
      <w:r w:rsidR="00035782" w:rsidRPr="002A2C49">
        <w:rPr>
          <w:snapToGrid w:val="0"/>
          <w:sz w:val="24"/>
          <w:szCs w:val="24"/>
        </w:rPr>
        <w:t xml:space="preserve">о результатам </w:t>
      </w:r>
      <w:r w:rsidR="000066E8" w:rsidRPr="002A2C49">
        <w:rPr>
          <w:snapToGrid w:val="0"/>
          <w:sz w:val="24"/>
          <w:szCs w:val="24"/>
        </w:rPr>
        <w:t xml:space="preserve">основного этапа </w:t>
      </w:r>
      <w:r w:rsidR="00035782" w:rsidRPr="002A2C49">
        <w:rPr>
          <w:snapToGrid w:val="0"/>
          <w:sz w:val="24"/>
          <w:szCs w:val="24"/>
        </w:rPr>
        <w:t xml:space="preserve">экспертно-аналитического мероприятия </w:t>
      </w:r>
      <w:r w:rsidR="00A46F58">
        <w:rPr>
          <w:snapToGrid w:val="0"/>
          <w:sz w:val="24"/>
          <w:szCs w:val="24"/>
        </w:rPr>
        <w:t xml:space="preserve">- </w:t>
      </w:r>
      <w:r w:rsidR="00035782" w:rsidRPr="002A2C49">
        <w:rPr>
          <w:snapToGrid w:val="0"/>
          <w:sz w:val="24"/>
          <w:szCs w:val="24"/>
        </w:rPr>
        <w:t>аналитическая записка</w:t>
      </w:r>
      <w:r w:rsidR="000066E8" w:rsidRPr="002A2C49">
        <w:rPr>
          <w:snapToGrid w:val="0"/>
          <w:sz w:val="24"/>
          <w:szCs w:val="24"/>
        </w:rPr>
        <w:t>.</w:t>
      </w:r>
    </w:p>
    <w:p w:rsidR="000066E8" w:rsidRPr="002A2C49" w:rsidRDefault="000066E8" w:rsidP="002A2C49">
      <w:pPr>
        <w:widowControl w:val="0"/>
        <w:spacing w:line="240" w:lineRule="auto"/>
        <w:ind w:firstLine="0"/>
        <w:contextualSpacing/>
        <w:rPr>
          <w:snapToGrid w:val="0"/>
          <w:sz w:val="24"/>
          <w:szCs w:val="24"/>
        </w:rPr>
      </w:pPr>
    </w:p>
    <w:p w:rsidR="004335F0" w:rsidRPr="002A2C49" w:rsidRDefault="004335F0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 xml:space="preserve">5. Заключительный этап проведения мероприятия при осуществлении </w:t>
      </w:r>
    </w:p>
    <w:p w:rsidR="004335F0" w:rsidRPr="002A2C49" w:rsidRDefault="004335F0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  <w:r w:rsidRPr="002A2C49">
        <w:rPr>
          <w:b/>
          <w:snapToGrid w:val="0"/>
          <w:sz w:val="24"/>
          <w:szCs w:val="24"/>
        </w:rPr>
        <w:t>стратегического аудита</w:t>
      </w:r>
    </w:p>
    <w:p w:rsidR="004335F0" w:rsidRPr="002A2C49" w:rsidRDefault="004335F0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sz w:val="24"/>
          <w:szCs w:val="24"/>
        </w:rPr>
      </w:pPr>
    </w:p>
    <w:p w:rsidR="004335F0" w:rsidRPr="002A2C49" w:rsidRDefault="004335F0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5.1. На заключительном этапе проведения мероприятия при осуществлении стратегического аудита при подготовке отчета</w:t>
      </w:r>
      <w:r w:rsidR="001A09D3" w:rsidRPr="002A2C49">
        <w:rPr>
          <w:snapToGrid w:val="0"/>
          <w:sz w:val="24"/>
          <w:szCs w:val="24"/>
        </w:rPr>
        <w:t>/заключения</w:t>
      </w:r>
      <w:r w:rsidRPr="002A2C49">
        <w:rPr>
          <w:snapToGrid w:val="0"/>
          <w:sz w:val="24"/>
          <w:szCs w:val="24"/>
        </w:rPr>
        <w:t xml:space="preserve"> о результатах мероприятия могут использоваться структура и содержание матрицы результатов, подготовленной на основном этапе.</w:t>
      </w:r>
    </w:p>
    <w:p w:rsidR="004335F0" w:rsidRPr="002A2C49" w:rsidRDefault="001A40BC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5.2. В </w:t>
      </w:r>
      <w:r w:rsidR="004335F0" w:rsidRPr="002A2C49">
        <w:rPr>
          <w:snapToGrid w:val="0"/>
          <w:sz w:val="24"/>
          <w:szCs w:val="24"/>
        </w:rPr>
        <w:t>отчет</w:t>
      </w:r>
      <w:r w:rsidR="001A09D3" w:rsidRPr="002A2C49">
        <w:rPr>
          <w:snapToGrid w:val="0"/>
          <w:sz w:val="24"/>
          <w:szCs w:val="24"/>
        </w:rPr>
        <w:t xml:space="preserve">/заключение </w:t>
      </w:r>
      <w:r w:rsidR="004335F0" w:rsidRPr="002A2C49">
        <w:rPr>
          <w:snapToGrid w:val="0"/>
          <w:sz w:val="24"/>
          <w:szCs w:val="24"/>
        </w:rPr>
        <w:t xml:space="preserve">о результатах мероприятия при осуществлении стратегического аудита рекомендуется включить краткое описание методов на основании подготовленной матрицы дизайна стратегического аудита и матрицы результатов в случае их применения, а также рекомендуется указать, как выполненные аудиторские процедуры позволили достичь цели стратегического аудита, включая описание методов сбора данных, анализа данных, формирования аудиторских доказательств. </w:t>
      </w:r>
    </w:p>
    <w:p w:rsidR="004335F0" w:rsidRPr="002A2C49" w:rsidRDefault="004335F0" w:rsidP="002A2C49">
      <w:pPr>
        <w:widowControl w:val="0"/>
        <w:spacing w:line="240" w:lineRule="auto"/>
        <w:contextualSpacing/>
        <w:rPr>
          <w:snapToGrid w:val="0"/>
          <w:color w:val="FF0000"/>
          <w:sz w:val="24"/>
          <w:szCs w:val="24"/>
        </w:rPr>
      </w:pPr>
      <w:r w:rsidRPr="002A2C49">
        <w:rPr>
          <w:snapToGrid w:val="0"/>
          <w:sz w:val="24"/>
          <w:szCs w:val="24"/>
        </w:rPr>
        <w:t>В отчете</w:t>
      </w:r>
      <w:r w:rsidR="001A09D3" w:rsidRPr="002A2C49">
        <w:rPr>
          <w:snapToGrid w:val="0"/>
          <w:sz w:val="24"/>
          <w:szCs w:val="24"/>
        </w:rPr>
        <w:t>/заключении</w:t>
      </w:r>
      <w:r w:rsidRPr="002A2C49">
        <w:rPr>
          <w:snapToGrid w:val="0"/>
          <w:sz w:val="24"/>
          <w:szCs w:val="24"/>
        </w:rPr>
        <w:t xml:space="preserve"> о результатах мероприятия при осуществлении стратегического аудита должны быть дополнительно описаны ограничения и степень неопределенности, связанные с надежностью и достоверностью использованных данных в том случае, если данная информация важна для выводов и рекомендаций и данное описание необходимо, чтобы избежать неверной трактовки содержания отчета его пользователями.</w:t>
      </w:r>
    </w:p>
    <w:p w:rsidR="004335F0" w:rsidRPr="002A2C49" w:rsidRDefault="004335F0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5.3. Выводы по результатам стратегического аудита представляют большую ценность, если они ведут к системным рекомендациям, убеждающим в необходимости принятия конкретных решений и выполнения действий.</w:t>
      </w:r>
    </w:p>
    <w:p w:rsidR="004335F0" w:rsidRPr="002A2C49" w:rsidRDefault="004335F0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5.4. Рекомендации по итогам стратегического аудита должны носить системный и приоритетный характер, быть ориентированы на улучшения в конкретной области, быть достаточными для устранения причин и условий выявленных проблем.</w:t>
      </w:r>
    </w:p>
    <w:p w:rsidR="004335F0" w:rsidRPr="002A2C49" w:rsidRDefault="004335F0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>5.5. Качественные рекомендации являются адресными (адресованы объекту стратегического аудита, иным органам и организациям, обладающим полномочиями принимать решения и действовать), конкретными, реализуемыми, контролируемыми и экономически эффективными.</w:t>
      </w:r>
    </w:p>
    <w:p w:rsidR="00D005DF" w:rsidRPr="002A2C49" w:rsidRDefault="004335F0" w:rsidP="002A2C49">
      <w:pPr>
        <w:widowControl w:val="0"/>
        <w:spacing w:line="240" w:lineRule="auto"/>
        <w:contextualSpacing/>
        <w:rPr>
          <w:snapToGrid w:val="0"/>
          <w:sz w:val="24"/>
          <w:szCs w:val="24"/>
        </w:rPr>
      </w:pPr>
      <w:r w:rsidRPr="002A2C49">
        <w:rPr>
          <w:snapToGrid w:val="0"/>
          <w:sz w:val="24"/>
          <w:szCs w:val="24"/>
        </w:rPr>
        <w:t xml:space="preserve">5.6. Оформление отчета или заключения по результатам мероприятия осуществляется в соответствии с требованиями </w:t>
      </w:r>
      <w:r w:rsidR="000D10AB" w:rsidRPr="002A2C49">
        <w:rPr>
          <w:snapToGrid w:val="0"/>
          <w:sz w:val="24"/>
          <w:szCs w:val="24"/>
        </w:rPr>
        <w:t>Закона № 177-ОЗ</w:t>
      </w:r>
      <w:r w:rsidRPr="002A2C49">
        <w:rPr>
          <w:snapToGrid w:val="0"/>
          <w:sz w:val="24"/>
          <w:szCs w:val="24"/>
        </w:rPr>
        <w:t>, Регламента Контрольно-счетной палаты, стандартов Контрольно-счетной палаты, устанавливающих структуру, требования к содержанию и форму отчета или заключения.</w:t>
      </w: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rPr>
          <w:b/>
          <w:snapToGrid w:val="0"/>
          <w:sz w:val="24"/>
          <w:szCs w:val="24"/>
        </w:rPr>
      </w:pP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color w:val="FF0000"/>
          <w:sz w:val="24"/>
          <w:szCs w:val="24"/>
        </w:rPr>
      </w:pP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color w:val="FF0000"/>
          <w:sz w:val="24"/>
          <w:szCs w:val="24"/>
        </w:rPr>
      </w:pPr>
    </w:p>
    <w:p w:rsidR="00D005DF" w:rsidRPr="002A2C49" w:rsidRDefault="00D005DF" w:rsidP="002A2C49">
      <w:pPr>
        <w:widowControl w:val="0"/>
        <w:spacing w:line="240" w:lineRule="auto"/>
        <w:ind w:firstLine="0"/>
        <w:contextualSpacing/>
        <w:jc w:val="center"/>
        <w:rPr>
          <w:b/>
          <w:snapToGrid w:val="0"/>
          <w:color w:val="FF0000"/>
          <w:sz w:val="24"/>
          <w:szCs w:val="24"/>
        </w:rPr>
      </w:pPr>
    </w:p>
    <w:p w:rsidR="000D10AB" w:rsidRPr="002A2C49" w:rsidRDefault="000D10AB" w:rsidP="002A2C49">
      <w:pPr>
        <w:shd w:val="clear" w:color="auto" w:fill="FFFFFF"/>
        <w:spacing w:line="240" w:lineRule="auto"/>
        <w:ind w:firstLine="708"/>
        <w:contextualSpacing/>
        <w:rPr>
          <w:color w:val="FF0000"/>
          <w:sz w:val="24"/>
          <w:szCs w:val="24"/>
        </w:rPr>
      </w:pPr>
      <w:bookmarkStart w:id="1" w:name="_Toc518912249"/>
    </w:p>
    <w:p w:rsidR="000D10AB" w:rsidRPr="002A2C49" w:rsidRDefault="000D10AB" w:rsidP="002A2C49">
      <w:pPr>
        <w:shd w:val="clear" w:color="auto" w:fill="FFFFFF"/>
        <w:spacing w:line="240" w:lineRule="auto"/>
        <w:ind w:firstLine="708"/>
        <w:contextualSpacing/>
        <w:rPr>
          <w:color w:val="FF0000"/>
          <w:sz w:val="24"/>
          <w:szCs w:val="24"/>
        </w:rPr>
      </w:pPr>
    </w:p>
    <w:p w:rsidR="000D10AB" w:rsidRPr="002A2C49" w:rsidRDefault="000D10AB" w:rsidP="002A2C49">
      <w:pPr>
        <w:shd w:val="clear" w:color="auto" w:fill="FFFFFF"/>
        <w:spacing w:line="240" w:lineRule="auto"/>
        <w:ind w:firstLine="708"/>
        <w:contextualSpacing/>
        <w:rPr>
          <w:color w:val="FF0000"/>
          <w:sz w:val="24"/>
          <w:szCs w:val="24"/>
        </w:rPr>
      </w:pPr>
    </w:p>
    <w:bookmarkEnd w:id="1"/>
    <w:p w:rsidR="00DA102D" w:rsidRPr="002A2C49" w:rsidRDefault="00DA102D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DA102D" w:rsidRPr="002A2C49" w:rsidRDefault="00DA102D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594DBF" w:rsidP="006F079F">
      <w:pPr>
        <w:suppressAutoHyphens/>
        <w:spacing w:line="240" w:lineRule="auto"/>
        <w:ind w:left="-567" w:firstLine="0"/>
        <w:contextualSpacing/>
        <w:rPr>
          <w:color w:val="FF0000"/>
          <w:sz w:val="24"/>
          <w:szCs w:val="24"/>
        </w:rPr>
      </w:pPr>
      <w:r w:rsidRPr="002A2C49">
        <w:rPr>
          <w:noProof/>
        </w:rPr>
        <w:drawing>
          <wp:inline distT="0" distB="0" distL="0" distR="0" wp14:anchorId="3D2481F6" wp14:editId="3C9A7DBA">
            <wp:extent cx="6945488" cy="41998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776" t="12494" r="5621" b="13088"/>
                    <a:stretch/>
                  </pic:blipFill>
                  <pic:spPr bwMode="auto">
                    <a:xfrm>
                      <a:off x="0" y="0"/>
                      <a:ext cx="6986319" cy="422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6F079F" w:rsidRDefault="006F079F">
      <w:pPr>
        <w:spacing w:line="240" w:lineRule="auto"/>
        <w:ind w:firstLine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F839B9" w:rsidRPr="002A2C49" w:rsidRDefault="00594DBF" w:rsidP="006F079F">
      <w:pPr>
        <w:suppressAutoHyphens/>
        <w:spacing w:line="240" w:lineRule="auto"/>
        <w:ind w:left="-426" w:firstLine="0"/>
        <w:contextualSpacing/>
        <w:rPr>
          <w:color w:val="FF0000"/>
          <w:sz w:val="24"/>
          <w:szCs w:val="24"/>
        </w:rPr>
      </w:pPr>
      <w:r w:rsidRPr="002A2C49">
        <w:rPr>
          <w:noProof/>
        </w:rPr>
        <w:lastRenderedPageBreak/>
        <w:drawing>
          <wp:inline distT="0" distB="0" distL="0" distR="0" wp14:anchorId="71A185FB" wp14:editId="5C9DF055">
            <wp:extent cx="6619875" cy="3481384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632" t="11626" r="5625" b="18869"/>
                    <a:stretch/>
                  </pic:blipFill>
                  <pic:spPr bwMode="auto">
                    <a:xfrm>
                      <a:off x="0" y="0"/>
                      <a:ext cx="6636093" cy="3489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6F079F" w:rsidRDefault="006F079F">
      <w:pPr>
        <w:spacing w:line="240" w:lineRule="auto"/>
        <w:ind w:firstLine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br w:type="page"/>
      </w:r>
    </w:p>
    <w:p w:rsidR="00F839B9" w:rsidRPr="002A2C49" w:rsidRDefault="00594DBF" w:rsidP="006F079F">
      <w:pPr>
        <w:suppressAutoHyphens/>
        <w:spacing w:line="240" w:lineRule="auto"/>
        <w:ind w:left="-284" w:firstLine="0"/>
        <w:contextualSpacing/>
        <w:rPr>
          <w:color w:val="FF0000"/>
          <w:sz w:val="24"/>
          <w:szCs w:val="24"/>
        </w:rPr>
      </w:pPr>
      <w:r w:rsidRPr="002A2C49">
        <w:rPr>
          <w:noProof/>
        </w:rPr>
        <w:lastRenderedPageBreak/>
        <w:drawing>
          <wp:inline distT="0" distB="0" distL="0" distR="0" wp14:anchorId="608DE189" wp14:editId="3E123F81">
            <wp:extent cx="6783757" cy="2829464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857" t="12679" r="5921" b="32933"/>
                    <a:stretch/>
                  </pic:blipFill>
                  <pic:spPr bwMode="auto">
                    <a:xfrm>
                      <a:off x="0" y="0"/>
                      <a:ext cx="6798725" cy="2835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p w:rsidR="00F839B9" w:rsidRPr="002A2C49" w:rsidRDefault="00F839B9" w:rsidP="002A2C49">
      <w:pPr>
        <w:suppressAutoHyphens/>
        <w:spacing w:line="240" w:lineRule="auto"/>
        <w:ind w:firstLine="0"/>
        <w:contextualSpacing/>
        <w:rPr>
          <w:color w:val="FF0000"/>
          <w:sz w:val="24"/>
          <w:szCs w:val="24"/>
        </w:rPr>
      </w:pPr>
    </w:p>
    <w:sectPr w:rsidR="00F839B9" w:rsidRPr="002A2C49" w:rsidSect="006F079F">
      <w:headerReference w:type="default" r:id="rId11"/>
      <w:pgSz w:w="11906" w:h="16838"/>
      <w:pgMar w:top="1134" w:right="566" w:bottom="1135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E96" w:rsidRDefault="006A4E96" w:rsidP="009C16E1">
      <w:pPr>
        <w:spacing w:line="240" w:lineRule="auto"/>
      </w:pPr>
      <w:r>
        <w:separator/>
      </w:r>
    </w:p>
  </w:endnote>
  <w:endnote w:type="continuationSeparator" w:id="0">
    <w:p w:rsidR="006A4E96" w:rsidRDefault="006A4E96" w:rsidP="009C1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E96" w:rsidRDefault="006A4E96" w:rsidP="009C16E1">
      <w:pPr>
        <w:spacing w:line="240" w:lineRule="auto"/>
      </w:pPr>
      <w:r>
        <w:separator/>
      </w:r>
    </w:p>
  </w:footnote>
  <w:footnote w:type="continuationSeparator" w:id="0">
    <w:p w:rsidR="006A4E96" w:rsidRDefault="006A4E96" w:rsidP="009C16E1">
      <w:pPr>
        <w:spacing w:line="240" w:lineRule="auto"/>
      </w:pPr>
      <w:r>
        <w:continuationSeparator/>
      </w:r>
    </w:p>
  </w:footnote>
  <w:footnote w:id="1">
    <w:p w:rsidR="006A4E96" w:rsidRPr="009C16E1" w:rsidRDefault="006A4E96">
      <w:pPr>
        <w:pStyle w:val="ad"/>
      </w:pPr>
      <w:r>
        <w:rPr>
          <w:rStyle w:val="af"/>
        </w:rPr>
        <w:footnoteRef/>
      </w:r>
      <w:r>
        <w:t xml:space="preserve"> </w:t>
      </w:r>
      <w:r w:rsidRPr="009C16E1">
        <w:rPr>
          <w:snapToGrid w:val="0"/>
          <w:sz w:val="24"/>
          <w:szCs w:val="24"/>
        </w:rPr>
        <w:t>Полученные в ходе стратегического аудита доказательства.</w:t>
      </w:r>
    </w:p>
  </w:footnote>
  <w:footnote w:id="2">
    <w:p w:rsidR="006A4E96" w:rsidRPr="009C16E1" w:rsidRDefault="006A4E96">
      <w:pPr>
        <w:pStyle w:val="ad"/>
      </w:pPr>
      <w:r>
        <w:rPr>
          <w:rStyle w:val="af"/>
        </w:rPr>
        <w:footnoteRef/>
      </w:r>
      <w:r>
        <w:t xml:space="preserve"> </w:t>
      </w:r>
      <w:r w:rsidRPr="009C16E1">
        <w:t>При проведении стратегического аудита могут применяться как все виды критериев, так и один из них.</w:t>
      </w:r>
    </w:p>
  </w:footnote>
  <w:footnote w:id="3">
    <w:p w:rsidR="006A4E96" w:rsidRDefault="006A4E96" w:rsidP="00D83D93">
      <w:pPr>
        <w:pStyle w:val="ad"/>
      </w:pPr>
      <w:r>
        <w:rPr>
          <w:rStyle w:val="af"/>
        </w:rPr>
        <w:footnoteRef/>
      </w:r>
      <w:r>
        <w:t xml:space="preserve"> Вероятность того, что сформулированные выводы и предложения (рекомендации) не содержат информацию, способствующую достижению (повышению достижимости) стратегических целей.</w:t>
      </w:r>
    </w:p>
  </w:footnote>
  <w:footnote w:id="4">
    <w:p w:rsidR="006A4E96" w:rsidRDefault="006A4E96">
      <w:pPr>
        <w:pStyle w:val="ad"/>
      </w:pPr>
      <w:r>
        <w:rPr>
          <w:rStyle w:val="af"/>
        </w:rPr>
        <w:footnoteRef/>
      </w:r>
      <w:r>
        <w:t xml:space="preserve"> </w:t>
      </w:r>
      <w:r w:rsidRPr="00D83D93">
        <w:t>Имеют логическую связь с целями и вопросами мероприятия и значимы для достижения целей мероприятия.</w:t>
      </w:r>
    </w:p>
  </w:footnote>
  <w:footnote w:id="5">
    <w:p w:rsidR="006A4E96" w:rsidRDefault="006A4E96" w:rsidP="00D83D93">
      <w:pPr>
        <w:pStyle w:val="ad"/>
      </w:pPr>
      <w:r>
        <w:rPr>
          <w:rStyle w:val="af"/>
        </w:rPr>
        <w:footnoteRef/>
      </w:r>
      <w:r>
        <w:t xml:space="preserve"> Обоснованность и пригодность применения методик и результатов исследования к конкретным условиям </w:t>
      </w:r>
    </w:p>
    <w:p w:rsidR="006A4E96" w:rsidRDefault="006A4E96" w:rsidP="00D83D93">
      <w:pPr>
        <w:pStyle w:val="ad"/>
      </w:pPr>
      <w:r>
        <w:t>стратегического аудита.</w:t>
      </w:r>
    </w:p>
  </w:footnote>
  <w:footnote w:id="6">
    <w:p w:rsidR="006A4E96" w:rsidRDefault="006A4E96" w:rsidP="00D83D93">
      <w:pPr>
        <w:pStyle w:val="ad"/>
      </w:pPr>
      <w:r>
        <w:rPr>
          <w:rStyle w:val="af"/>
        </w:rPr>
        <w:footnoteRef/>
      </w:r>
      <w:r>
        <w:t xml:space="preserve"> Степень, в которой аудиторские доказательства подтверждаются данными из различных источников или </w:t>
      </w:r>
    </w:p>
    <w:p w:rsidR="006A4E96" w:rsidRDefault="006A4E96" w:rsidP="00D83D93">
      <w:pPr>
        <w:pStyle w:val="ad"/>
      </w:pPr>
      <w:r>
        <w:t>позволяют получать одни и те же результаты при повторном получении.</w:t>
      </w:r>
    </w:p>
    <w:p w:rsidR="006A4E96" w:rsidRDefault="006A4E96">
      <w:pPr>
        <w:pStyle w:val="ad"/>
      </w:pPr>
    </w:p>
  </w:footnote>
  <w:footnote w:id="7">
    <w:p w:rsidR="006A4E96" w:rsidRDefault="006A4E96">
      <w:pPr>
        <w:pStyle w:val="ad"/>
      </w:pPr>
      <w:r>
        <w:rPr>
          <w:rStyle w:val="af"/>
        </w:rPr>
        <w:footnoteRef/>
      </w:r>
      <w:r>
        <w:t xml:space="preserve"> </w:t>
      </w:r>
      <w:r w:rsidRPr="00D005DF">
        <w:t>Действия, обеспечивающие получение достаточных и надлежащих аудиторских доказательств.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609000403"/>
      <w:docPartObj>
        <w:docPartGallery w:val="Page Numbers (Top of Page)"/>
        <w:docPartUnique/>
      </w:docPartObj>
    </w:sdtPr>
    <w:sdtEndPr/>
    <w:sdtContent>
      <w:p w:rsidR="009F69D1" w:rsidRPr="009F69D1" w:rsidRDefault="009F69D1" w:rsidP="009F69D1">
        <w:pPr>
          <w:pStyle w:val="af0"/>
          <w:ind w:firstLine="0"/>
          <w:jc w:val="center"/>
          <w:rPr>
            <w:sz w:val="20"/>
          </w:rPr>
        </w:pPr>
        <w:r w:rsidRPr="009F69D1">
          <w:rPr>
            <w:sz w:val="20"/>
          </w:rPr>
          <w:fldChar w:fldCharType="begin"/>
        </w:r>
        <w:r w:rsidRPr="009F69D1">
          <w:rPr>
            <w:sz w:val="20"/>
          </w:rPr>
          <w:instrText>PAGE   \* MERGEFORMAT</w:instrText>
        </w:r>
        <w:r w:rsidRPr="009F69D1">
          <w:rPr>
            <w:sz w:val="20"/>
          </w:rPr>
          <w:fldChar w:fldCharType="separate"/>
        </w:r>
        <w:r w:rsidR="007563DF">
          <w:rPr>
            <w:noProof/>
            <w:sz w:val="20"/>
          </w:rPr>
          <w:t>2</w:t>
        </w:r>
        <w:r w:rsidRPr="009F69D1">
          <w:rPr>
            <w:sz w:val="20"/>
          </w:rPr>
          <w:fldChar w:fldCharType="end"/>
        </w:r>
      </w:p>
    </w:sdtContent>
  </w:sdt>
  <w:p w:rsidR="009F69D1" w:rsidRPr="009F69D1" w:rsidRDefault="009F69D1" w:rsidP="009F69D1">
    <w:pPr>
      <w:pStyle w:val="af0"/>
      <w:ind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548"/>
    <w:multiLevelType w:val="hybridMultilevel"/>
    <w:tmpl w:val="DF36AE96"/>
    <w:lvl w:ilvl="0" w:tplc="85B292B0">
      <w:start w:val="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CAE1C53"/>
    <w:multiLevelType w:val="hybridMultilevel"/>
    <w:tmpl w:val="E9F26B10"/>
    <w:lvl w:ilvl="0" w:tplc="D2BAE9B2">
      <w:start w:val="23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01"/>
    <w:rsid w:val="000066E8"/>
    <w:rsid w:val="0002065C"/>
    <w:rsid w:val="00035782"/>
    <w:rsid w:val="00042A5E"/>
    <w:rsid w:val="00042E99"/>
    <w:rsid w:val="00043C84"/>
    <w:rsid w:val="00083457"/>
    <w:rsid w:val="00086FBF"/>
    <w:rsid w:val="00094542"/>
    <w:rsid w:val="000A0B96"/>
    <w:rsid w:val="000B7EBA"/>
    <w:rsid w:val="000D10AB"/>
    <w:rsid w:val="000E6D01"/>
    <w:rsid w:val="00105555"/>
    <w:rsid w:val="00127E51"/>
    <w:rsid w:val="001533D3"/>
    <w:rsid w:val="0016179F"/>
    <w:rsid w:val="00165BDF"/>
    <w:rsid w:val="00176BAB"/>
    <w:rsid w:val="00181D55"/>
    <w:rsid w:val="001A09D3"/>
    <w:rsid w:val="001A22F6"/>
    <w:rsid w:val="001A40BC"/>
    <w:rsid w:val="001A7870"/>
    <w:rsid w:val="001B0C7C"/>
    <w:rsid w:val="001C6F47"/>
    <w:rsid w:val="001D24DC"/>
    <w:rsid w:val="001D54E5"/>
    <w:rsid w:val="001D7488"/>
    <w:rsid w:val="001E242A"/>
    <w:rsid w:val="001E4C4A"/>
    <w:rsid w:val="001F0F52"/>
    <w:rsid w:val="0023277A"/>
    <w:rsid w:val="00244518"/>
    <w:rsid w:val="00252A6C"/>
    <w:rsid w:val="0026542A"/>
    <w:rsid w:val="00266C17"/>
    <w:rsid w:val="0027185A"/>
    <w:rsid w:val="0028255D"/>
    <w:rsid w:val="00295AE1"/>
    <w:rsid w:val="002A2C49"/>
    <w:rsid w:val="002B5072"/>
    <w:rsid w:val="002B50F7"/>
    <w:rsid w:val="002C5BF3"/>
    <w:rsid w:val="002E2707"/>
    <w:rsid w:val="00324859"/>
    <w:rsid w:val="003B12B8"/>
    <w:rsid w:val="003B459E"/>
    <w:rsid w:val="003D161E"/>
    <w:rsid w:val="003D5CCD"/>
    <w:rsid w:val="00403940"/>
    <w:rsid w:val="00411787"/>
    <w:rsid w:val="004152DA"/>
    <w:rsid w:val="00420337"/>
    <w:rsid w:val="00430CAF"/>
    <w:rsid w:val="004335F0"/>
    <w:rsid w:val="00434B3E"/>
    <w:rsid w:val="00440240"/>
    <w:rsid w:val="00453B00"/>
    <w:rsid w:val="00487FB2"/>
    <w:rsid w:val="004925A7"/>
    <w:rsid w:val="004A28E3"/>
    <w:rsid w:val="004C541A"/>
    <w:rsid w:val="004E0FAE"/>
    <w:rsid w:val="004F562C"/>
    <w:rsid w:val="00521403"/>
    <w:rsid w:val="005267D5"/>
    <w:rsid w:val="00527624"/>
    <w:rsid w:val="00533E3F"/>
    <w:rsid w:val="00535D2B"/>
    <w:rsid w:val="00541B12"/>
    <w:rsid w:val="00545400"/>
    <w:rsid w:val="0055518F"/>
    <w:rsid w:val="00572846"/>
    <w:rsid w:val="00586B6F"/>
    <w:rsid w:val="00592F42"/>
    <w:rsid w:val="00594DBF"/>
    <w:rsid w:val="005A5FAD"/>
    <w:rsid w:val="005A657F"/>
    <w:rsid w:val="005D7630"/>
    <w:rsid w:val="005E446B"/>
    <w:rsid w:val="005F629C"/>
    <w:rsid w:val="006043C2"/>
    <w:rsid w:val="00650849"/>
    <w:rsid w:val="0065199C"/>
    <w:rsid w:val="00674676"/>
    <w:rsid w:val="00685916"/>
    <w:rsid w:val="006916AF"/>
    <w:rsid w:val="006A4E96"/>
    <w:rsid w:val="006B3C27"/>
    <w:rsid w:val="006D4816"/>
    <w:rsid w:val="006F079F"/>
    <w:rsid w:val="0070523C"/>
    <w:rsid w:val="00747400"/>
    <w:rsid w:val="00752908"/>
    <w:rsid w:val="007563DF"/>
    <w:rsid w:val="0076600D"/>
    <w:rsid w:val="007767CD"/>
    <w:rsid w:val="007C62D1"/>
    <w:rsid w:val="007D2C2A"/>
    <w:rsid w:val="007D51AF"/>
    <w:rsid w:val="007D789F"/>
    <w:rsid w:val="00801D87"/>
    <w:rsid w:val="00804957"/>
    <w:rsid w:val="00811289"/>
    <w:rsid w:val="00822552"/>
    <w:rsid w:val="00850E5F"/>
    <w:rsid w:val="008822A1"/>
    <w:rsid w:val="008A19F8"/>
    <w:rsid w:val="008A6D45"/>
    <w:rsid w:val="008B0182"/>
    <w:rsid w:val="008C7692"/>
    <w:rsid w:val="008D5A77"/>
    <w:rsid w:val="008E3D03"/>
    <w:rsid w:val="008E701B"/>
    <w:rsid w:val="009137A5"/>
    <w:rsid w:val="00937ACA"/>
    <w:rsid w:val="00946C82"/>
    <w:rsid w:val="009562A8"/>
    <w:rsid w:val="0096709C"/>
    <w:rsid w:val="0098666C"/>
    <w:rsid w:val="009C0308"/>
    <w:rsid w:val="009C16E1"/>
    <w:rsid w:val="009C4FC9"/>
    <w:rsid w:val="009D7C00"/>
    <w:rsid w:val="009E05F1"/>
    <w:rsid w:val="009F6280"/>
    <w:rsid w:val="009F69D1"/>
    <w:rsid w:val="00A03173"/>
    <w:rsid w:val="00A0524F"/>
    <w:rsid w:val="00A46F58"/>
    <w:rsid w:val="00A53D5B"/>
    <w:rsid w:val="00AA13AE"/>
    <w:rsid w:val="00AA1B2B"/>
    <w:rsid w:val="00AA7803"/>
    <w:rsid w:val="00AC1AFF"/>
    <w:rsid w:val="00B055CC"/>
    <w:rsid w:val="00B15925"/>
    <w:rsid w:val="00B225EE"/>
    <w:rsid w:val="00B44CC6"/>
    <w:rsid w:val="00B536EB"/>
    <w:rsid w:val="00B55DB7"/>
    <w:rsid w:val="00B86790"/>
    <w:rsid w:val="00B90DD5"/>
    <w:rsid w:val="00B9152A"/>
    <w:rsid w:val="00BA5317"/>
    <w:rsid w:val="00BC0917"/>
    <w:rsid w:val="00BF50CE"/>
    <w:rsid w:val="00C204DD"/>
    <w:rsid w:val="00C4018C"/>
    <w:rsid w:val="00C41E82"/>
    <w:rsid w:val="00C56333"/>
    <w:rsid w:val="00C57E5B"/>
    <w:rsid w:val="00C7111F"/>
    <w:rsid w:val="00C80172"/>
    <w:rsid w:val="00C873E3"/>
    <w:rsid w:val="00C95501"/>
    <w:rsid w:val="00CE4475"/>
    <w:rsid w:val="00CF7D0F"/>
    <w:rsid w:val="00D005DF"/>
    <w:rsid w:val="00D05553"/>
    <w:rsid w:val="00D105C8"/>
    <w:rsid w:val="00D1068E"/>
    <w:rsid w:val="00D12EDC"/>
    <w:rsid w:val="00D17E09"/>
    <w:rsid w:val="00D24B95"/>
    <w:rsid w:val="00D26EA8"/>
    <w:rsid w:val="00D353AD"/>
    <w:rsid w:val="00D57CC2"/>
    <w:rsid w:val="00D64F35"/>
    <w:rsid w:val="00D72B18"/>
    <w:rsid w:val="00D83D93"/>
    <w:rsid w:val="00DA102D"/>
    <w:rsid w:val="00DB5357"/>
    <w:rsid w:val="00DD1010"/>
    <w:rsid w:val="00DE40E4"/>
    <w:rsid w:val="00DF4D30"/>
    <w:rsid w:val="00E06C0A"/>
    <w:rsid w:val="00E20700"/>
    <w:rsid w:val="00E41A25"/>
    <w:rsid w:val="00E475EF"/>
    <w:rsid w:val="00E5060E"/>
    <w:rsid w:val="00E51436"/>
    <w:rsid w:val="00E641CD"/>
    <w:rsid w:val="00E8371E"/>
    <w:rsid w:val="00E84A5E"/>
    <w:rsid w:val="00E87CBF"/>
    <w:rsid w:val="00EA4C41"/>
    <w:rsid w:val="00EB6DEB"/>
    <w:rsid w:val="00ED4594"/>
    <w:rsid w:val="00EE71B6"/>
    <w:rsid w:val="00F14A12"/>
    <w:rsid w:val="00F22326"/>
    <w:rsid w:val="00F27E14"/>
    <w:rsid w:val="00F41E10"/>
    <w:rsid w:val="00F57751"/>
    <w:rsid w:val="00F839B9"/>
    <w:rsid w:val="00FA12C0"/>
    <w:rsid w:val="00FA3920"/>
    <w:rsid w:val="00FB188C"/>
    <w:rsid w:val="00F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81718-E8F2-435D-B666-792E8DEF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A6C"/>
    <w:pPr>
      <w:spacing w:line="360" w:lineRule="auto"/>
      <w:ind w:firstLine="709"/>
      <w:jc w:val="both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52A6C"/>
    <w:pPr>
      <w:snapToGrid w:val="0"/>
      <w:spacing w:line="240" w:lineRule="auto"/>
      <w:ind w:firstLine="0"/>
      <w:jc w:val="center"/>
      <w:outlineLvl w:val="1"/>
    </w:pPr>
    <w:rPr>
      <w:b/>
      <w:cap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252A6C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paragraph" w:styleId="a3">
    <w:name w:val="Normal (Web)"/>
    <w:basedOn w:val="a"/>
    <w:unhideWhenUsed/>
    <w:rsid w:val="00252A6C"/>
    <w:pPr>
      <w:spacing w:before="120" w:after="120" w:line="240" w:lineRule="auto"/>
      <w:ind w:firstLine="0"/>
    </w:pPr>
    <w:rPr>
      <w:sz w:val="24"/>
      <w:szCs w:val="24"/>
    </w:rPr>
  </w:style>
  <w:style w:type="paragraph" w:styleId="a4">
    <w:name w:val="Body Text"/>
    <w:basedOn w:val="a"/>
    <w:link w:val="a5"/>
    <w:unhideWhenUsed/>
    <w:rsid w:val="00252A6C"/>
  </w:style>
  <w:style w:type="character" w:customStyle="1" w:styleId="a5">
    <w:name w:val="Основной текст Знак"/>
    <w:link w:val="a4"/>
    <w:rsid w:val="00252A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252A6C"/>
    <w:pPr>
      <w:widowControl w:val="0"/>
      <w:snapToGrid w:val="0"/>
      <w:ind w:firstLine="220"/>
    </w:pPr>
    <w:rPr>
      <w:sz w:val="24"/>
    </w:rPr>
  </w:style>
  <w:style w:type="character" w:customStyle="1" w:styleId="a7">
    <w:name w:val="Основной текст с отступом Знак"/>
    <w:link w:val="a6"/>
    <w:rsid w:val="00252A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">
    <w:name w:val="Основной текст 3 Знак"/>
    <w:aliases w:val="Основной 4 надпись Знак"/>
    <w:link w:val="30"/>
    <w:semiHidden/>
    <w:locked/>
    <w:rsid w:val="00252A6C"/>
    <w:rPr>
      <w:b/>
      <w:color w:val="FF0000"/>
      <w:sz w:val="28"/>
    </w:rPr>
  </w:style>
  <w:style w:type="paragraph" w:styleId="30">
    <w:name w:val="Body Text 3"/>
    <w:aliases w:val="Основной 4 надпись"/>
    <w:basedOn w:val="a"/>
    <w:link w:val="3"/>
    <w:semiHidden/>
    <w:unhideWhenUsed/>
    <w:rsid w:val="00252A6C"/>
    <w:pPr>
      <w:widowControl w:val="0"/>
      <w:snapToGrid w:val="0"/>
      <w:jc w:val="center"/>
    </w:pPr>
    <w:rPr>
      <w:rFonts w:ascii="Calibri" w:eastAsia="Calibri" w:hAnsi="Calibri"/>
      <w:b/>
      <w:color w:val="FF0000"/>
      <w:szCs w:val="22"/>
      <w:lang w:eastAsia="en-US"/>
    </w:rPr>
  </w:style>
  <w:style w:type="character" w:customStyle="1" w:styleId="31">
    <w:name w:val="Основной текст 3 Знак1"/>
    <w:uiPriority w:val="99"/>
    <w:semiHidden/>
    <w:rsid w:val="00252A6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252A6C"/>
    <w:pPr>
      <w:widowControl w:val="0"/>
      <w:snapToGrid w:val="0"/>
      <w:ind w:firstLine="488"/>
    </w:pPr>
    <w:rPr>
      <w:color w:val="000000"/>
    </w:rPr>
  </w:style>
  <w:style w:type="character" w:customStyle="1" w:styleId="22">
    <w:name w:val="Основной текст с отступом 2 Знак"/>
    <w:link w:val="21"/>
    <w:semiHidden/>
    <w:rsid w:val="00252A6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2">
    <w:name w:val="Body Text Indent 3"/>
    <w:basedOn w:val="a"/>
    <w:link w:val="33"/>
    <w:unhideWhenUsed/>
    <w:rsid w:val="00252A6C"/>
    <w:pPr>
      <w:widowControl w:val="0"/>
      <w:snapToGrid w:val="0"/>
    </w:pPr>
  </w:style>
  <w:style w:type="character" w:customStyle="1" w:styleId="33">
    <w:name w:val="Основной текст с отступом 3 Знак"/>
    <w:link w:val="32"/>
    <w:rsid w:val="00252A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тиль Регламент"/>
    <w:basedOn w:val="a"/>
    <w:rsid w:val="00252A6C"/>
    <w:pPr>
      <w:spacing w:line="360" w:lineRule="atLeast"/>
      <w:ind w:firstLine="720"/>
    </w:pPr>
    <w:rPr>
      <w:rFonts w:ascii="Arial" w:hAnsi="Arial"/>
      <w:sz w:val="24"/>
    </w:rPr>
  </w:style>
  <w:style w:type="paragraph" w:customStyle="1" w:styleId="210">
    <w:name w:val="Список 21"/>
    <w:basedOn w:val="a"/>
    <w:rsid w:val="00252A6C"/>
    <w:pPr>
      <w:suppressAutoHyphens/>
      <w:spacing w:line="240" w:lineRule="auto"/>
      <w:ind w:left="566" w:hanging="283"/>
      <w:jc w:val="left"/>
    </w:pPr>
    <w:rPr>
      <w:sz w:val="24"/>
      <w:szCs w:val="24"/>
      <w:lang w:eastAsia="ar-SA"/>
    </w:rPr>
  </w:style>
  <w:style w:type="paragraph" w:customStyle="1" w:styleId="1">
    <w:name w:val="Красная строка1"/>
    <w:basedOn w:val="a4"/>
    <w:rsid w:val="00252A6C"/>
    <w:pPr>
      <w:suppressAutoHyphens/>
      <w:spacing w:after="120" w:line="240" w:lineRule="auto"/>
      <w:ind w:firstLine="210"/>
      <w:jc w:val="left"/>
    </w:pPr>
    <w:rPr>
      <w:sz w:val="24"/>
      <w:szCs w:val="24"/>
      <w:lang w:eastAsia="ar-SA"/>
    </w:rPr>
  </w:style>
  <w:style w:type="paragraph" w:customStyle="1" w:styleId="310">
    <w:name w:val="Список 31"/>
    <w:basedOn w:val="a"/>
    <w:rsid w:val="00252A6C"/>
    <w:pPr>
      <w:suppressAutoHyphens/>
      <w:spacing w:line="240" w:lineRule="auto"/>
      <w:ind w:left="849" w:hanging="283"/>
      <w:jc w:val="left"/>
    </w:pPr>
    <w:rPr>
      <w:sz w:val="24"/>
      <w:szCs w:val="24"/>
      <w:lang w:eastAsia="ar-SA"/>
    </w:rPr>
  </w:style>
  <w:style w:type="paragraph" w:customStyle="1" w:styleId="ConsPlusNormal">
    <w:name w:val="ConsPlusNormal"/>
    <w:rsid w:val="00FD41B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styleId="a9">
    <w:name w:val="Table Grid"/>
    <w:basedOn w:val="a1"/>
    <w:rsid w:val="001C6F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A3920"/>
    <w:pPr>
      <w:spacing w:line="240" w:lineRule="auto"/>
      <w:ind w:left="720" w:firstLine="0"/>
      <w:contextualSpacing/>
      <w:jc w:val="left"/>
    </w:pPr>
    <w:rPr>
      <w:sz w:val="20"/>
    </w:rPr>
  </w:style>
  <w:style w:type="paragraph" w:styleId="ab">
    <w:name w:val="Balloon Text"/>
    <w:basedOn w:val="a"/>
    <w:link w:val="ac"/>
    <w:uiPriority w:val="99"/>
    <w:semiHidden/>
    <w:unhideWhenUsed/>
    <w:rsid w:val="00D26E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6EA8"/>
    <w:rPr>
      <w:rFonts w:ascii="Segoe UI" w:eastAsia="Times New Roman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9C16E1"/>
    <w:pPr>
      <w:spacing w:line="240" w:lineRule="auto"/>
    </w:pPr>
    <w:rPr>
      <w:sz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C16E1"/>
    <w:rPr>
      <w:rFonts w:ascii="Times New Roman" w:eastAsia="Times New Roman" w:hAnsi="Times New Roman"/>
    </w:rPr>
  </w:style>
  <w:style w:type="character" w:styleId="af">
    <w:name w:val="footnote reference"/>
    <w:basedOn w:val="a0"/>
    <w:uiPriority w:val="99"/>
    <w:semiHidden/>
    <w:unhideWhenUsed/>
    <w:rsid w:val="009C16E1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9F69D1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F69D1"/>
    <w:rPr>
      <w:rFonts w:ascii="Times New Roman" w:eastAsia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9F69D1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69D1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3C27-51F4-480D-8672-92F5DD67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19960</TotalTime>
  <Pages>14</Pages>
  <Words>4870</Words>
  <Characters>27763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</dc:creator>
  <cp:lastModifiedBy>Куренкова Елена Евгеньевна</cp:lastModifiedBy>
  <cp:revision>66</cp:revision>
  <cp:lastPrinted>2025-12-09T01:53:00Z</cp:lastPrinted>
  <dcterms:created xsi:type="dcterms:W3CDTF">2024-08-16T08:58:00Z</dcterms:created>
  <dcterms:modified xsi:type="dcterms:W3CDTF">2026-09-01T10:25:00Z</dcterms:modified>
  <cp:contentStatus/>
</cp:coreProperties>
</file>