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1" w:rsidRDefault="00C46951" w:rsidP="00C46951">
      <w:pPr>
        <w:spacing w:after="0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C5FD5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E37" w:rsidRDefault="00F16E37" w:rsidP="00F16E37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37">
        <w:rPr>
          <w:rFonts w:ascii="Times New Roman" w:hAnsi="Times New Roman" w:cs="Times New Roman"/>
          <w:b/>
          <w:sz w:val="24"/>
          <w:szCs w:val="24"/>
        </w:rPr>
        <w:t>Государственный внутренний долг Томской области</w:t>
      </w:r>
    </w:p>
    <w:p w:rsidR="00A629CB" w:rsidRDefault="00F16E37" w:rsidP="00F16E37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37">
        <w:rPr>
          <w:rFonts w:ascii="Times New Roman" w:hAnsi="Times New Roman" w:cs="Times New Roman"/>
          <w:b/>
          <w:sz w:val="24"/>
          <w:szCs w:val="24"/>
        </w:rPr>
        <w:t>и расходы на обслуживание государственного долга</w:t>
      </w:r>
    </w:p>
    <w:p w:rsidR="00F16E37" w:rsidRDefault="00F16E37" w:rsidP="00F16E37">
      <w:pPr>
        <w:spacing w:after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040435" w:rsidRPr="00040435" w:rsidRDefault="00040435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0435">
        <w:rPr>
          <w:rFonts w:ascii="Times New Roman" w:hAnsi="Times New Roman" w:cs="Times New Roman"/>
          <w:sz w:val="24"/>
          <w:szCs w:val="24"/>
        </w:rPr>
        <w:t xml:space="preserve">Государственный внутренний долг Томской области по состоянию на 01.01.2019 составил 28 994 076,1 тыс.руб., что соответствует объему, указанному в Пояснительной записке к Отчету об исполнении областного бюджета за 2018 год (далее - Пояснительная записка), представленной одновременно с проектом Закона Томской области «Об исполнении областного бюджета за 2018 год» (далее – проект Закона). </w:t>
      </w:r>
    </w:p>
    <w:p w:rsidR="00040435" w:rsidRPr="00040435" w:rsidRDefault="00040435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0435">
        <w:rPr>
          <w:rFonts w:ascii="Times New Roman" w:hAnsi="Times New Roman" w:cs="Times New Roman"/>
          <w:sz w:val="24"/>
          <w:szCs w:val="24"/>
        </w:rPr>
        <w:t>Верхний предел государственного долга Томской области на 2018 год, а также предельный объем государственного долга Томской области на 2018 год, установленные пп.1,2 ст.9 Закона Томской области от 28.12.2017 № 156-ОЗ «Об областном бюджете на 2018 год и на плановый период 2019 и 2020 годов»</w:t>
      </w:r>
      <w:r w:rsidR="00E01D32">
        <w:rPr>
          <w:rFonts w:ascii="Times New Roman" w:hAnsi="Times New Roman" w:cs="Times New Roman"/>
          <w:sz w:val="24"/>
          <w:szCs w:val="24"/>
        </w:rPr>
        <w:t xml:space="preserve">, </w:t>
      </w:r>
      <w:r w:rsidRPr="00040435">
        <w:rPr>
          <w:rFonts w:ascii="Times New Roman" w:hAnsi="Times New Roman" w:cs="Times New Roman"/>
          <w:sz w:val="24"/>
          <w:szCs w:val="24"/>
        </w:rPr>
        <w:t xml:space="preserve"> не превышены.</w:t>
      </w:r>
    </w:p>
    <w:p w:rsidR="00040435" w:rsidRDefault="00040435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0435">
        <w:rPr>
          <w:rFonts w:ascii="Times New Roman" w:hAnsi="Times New Roman" w:cs="Times New Roman"/>
          <w:sz w:val="24"/>
          <w:szCs w:val="24"/>
        </w:rPr>
        <w:t>Государственный долг Томской области еж</w:t>
      </w:r>
      <w:r w:rsidR="00C46951">
        <w:rPr>
          <w:rFonts w:ascii="Times New Roman" w:hAnsi="Times New Roman" w:cs="Times New Roman"/>
          <w:sz w:val="24"/>
          <w:szCs w:val="24"/>
        </w:rPr>
        <w:t>егодно увеличивался с 2011 года</w:t>
      </w:r>
      <w:r w:rsidRPr="00040435">
        <w:rPr>
          <w:rFonts w:ascii="Times New Roman" w:hAnsi="Times New Roman" w:cs="Times New Roman"/>
          <w:sz w:val="24"/>
          <w:szCs w:val="24"/>
        </w:rPr>
        <w:t xml:space="preserve">, что привело к его увеличению за период 2011-2018 гг. более чем в 4 раза. </w:t>
      </w:r>
    </w:p>
    <w:p w:rsidR="008B59F4" w:rsidRDefault="008B59F4" w:rsidP="008B59F4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40435" w:rsidRPr="00040435" w:rsidRDefault="00040435" w:rsidP="00040435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FE9C7F" wp14:editId="04C67C4C">
            <wp:extent cx="5939790" cy="3396615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0435" w:rsidRDefault="00040435" w:rsidP="008B59F4">
      <w:pPr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8B59F4" w:rsidRDefault="008B59F4" w:rsidP="008B59F4">
      <w:pPr>
        <w:spacing w:after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16E37" w:rsidRDefault="00040435" w:rsidP="008B59F4">
      <w:pPr>
        <w:spacing w:after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40435">
        <w:rPr>
          <w:rFonts w:ascii="Times New Roman" w:hAnsi="Times New Roman" w:cs="Times New Roman"/>
          <w:sz w:val="24"/>
          <w:szCs w:val="24"/>
        </w:rPr>
        <w:t>В 2018 году сохранилась тенденция по ежегодному росту государственного долга Томской области и его объем увеличился на 622 379,7 тыс.руб. или на 2,2% по сравнению с 2017 годом.</w:t>
      </w:r>
    </w:p>
    <w:p w:rsidR="00040435" w:rsidRDefault="00040435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0435">
        <w:rPr>
          <w:rFonts w:ascii="Times New Roman" w:hAnsi="Times New Roman" w:cs="Times New Roman"/>
          <w:sz w:val="24"/>
          <w:szCs w:val="24"/>
        </w:rPr>
        <w:t>Контрольно-счетная палата при проверке исполнения областного бюджета неоднократно обращала внимание на необходимость разработки плана мероприятий по снижению объема государственного долга Томской области.</w:t>
      </w:r>
    </w:p>
    <w:p w:rsidR="008B59F4" w:rsidRDefault="008B59F4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40435" w:rsidRDefault="00040435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информации, указанной на сайте Министерства финансов РФ </w:t>
      </w:r>
      <w:r w:rsidRPr="00040435">
        <w:rPr>
          <w:rFonts w:ascii="Times New Roman" w:hAnsi="Times New Roman" w:cs="Times New Roman"/>
          <w:sz w:val="24"/>
          <w:szCs w:val="24"/>
        </w:rPr>
        <w:t>из 10 субъектов Сибирского федерального округа лишь 2 субъекта увеличили в 2018 году (Красноярский край и Томская область), объем государственного долга по сравнению с 2017 го</w:t>
      </w:r>
      <w:r w:rsidR="00C46951">
        <w:rPr>
          <w:rFonts w:ascii="Times New Roman" w:hAnsi="Times New Roman" w:cs="Times New Roman"/>
          <w:sz w:val="24"/>
          <w:szCs w:val="24"/>
        </w:rPr>
        <w:t>дом: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1560"/>
        <w:gridCol w:w="1559"/>
      </w:tblGrid>
      <w:tr w:rsidR="00040435" w:rsidRPr="00040435" w:rsidTr="00AC22C2">
        <w:trPr>
          <w:trHeight w:val="31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Субъект СФО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99 633 836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103 901 086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A007B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040435"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4 267 250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A007B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040435"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28 371 696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28 994 076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A007B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 w:rsidR="00040435" w:rsidRPr="00040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622 380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A007B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 w:rsidR="00040435" w:rsidRPr="00040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1 509 633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1 509 633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2 010 715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1 934 143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2 274 372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1 983 869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-290 503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44 978 839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42 440 779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-2 538 060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24 612 961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21 846 454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-2 766 507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47 135 826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44 220 167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-2 915 659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18 585 587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12 281 417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-6 304 170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55 991 353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33 377 458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-22 613 895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-40%</w:t>
            </w:r>
          </w:p>
        </w:tc>
      </w:tr>
      <w:tr w:rsidR="00040435" w:rsidRPr="00040435" w:rsidTr="00AC22C2">
        <w:trPr>
          <w:trHeight w:val="31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325 104 818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292 489 083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-32 615 735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435" w:rsidRPr="00040435" w:rsidRDefault="00040435" w:rsidP="0004043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-10%</w:t>
            </w:r>
          </w:p>
        </w:tc>
      </w:tr>
    </w:tbl>
    <w:p w:rsidR="002864B1" w:rsidRDefault="002864B1" w:rsidP="00A007B5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40435" w:rsidRDefault="00A007B5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07B5">
        <w:rPr>
          <w:rFonts w:ascii="Times New Roman" w:hAnsi="Times New Roman" w:cs="Times New Roman"/>
          <w:sz w:val="24"/>
          <w:szCs w:val="24"/>
        </w:rPr>
        <w:t>Кроме того, 7 субъектов СФО снизили в 2018 году объем долга от 4% до 40%, объем долга 1 субъекта СФО остался на уровне 2017 года.</w:t>
      </w:r>
    </w:p>
    <w:p w:rsidR="00A007B5" w:rsidRDefault="00411966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11966">
        <w:rPr>
          <w:rFonts w:ascii="Times New Roman" w:hAnsi="Times New Roman" w:cs="Times New Roman"/>
          <w:sz w:val="24"/>
          <w:szCs w:val="24"/>
        </w:rPr>
        <w:t xml:space="preserve">Согласно информации, указанной в государственной долговой книге Томской области по состоянию на 01.01.2019 года, объем погашения долговых обязательств Томской области распределен по годам неравномерно, а именно - 69% объема государственного долга Томской области со сроком погашения 2019-2021 годы. </w:t>
      </w:r>
    </w:p>
    <w:p w:rsidR="008B59F4" w:rsidRDefault="008B59F4" w:rsidP="008B59F4">
      <w:p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11966" w:rsidRDefault="00411966" w:rsidP="00411966">
      <w:pPr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DA6522" wp14:editId="5866B59F">
            <wp:extent cx="5827395" cy="3691719"/>
            <wp:effectExtent l="0" t="0" r="1905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54D9" w:rsidRDefault="000D54D9" w:rsidP="000D54D9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B59F4" w:rsidRDefault="008B59F4" w:rsidP="000D54D9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B59F4" w:rsidRDefault="008B59F4" w:rsidP="000D54D9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B59F4" w:rsidRDefault="008B59F4" w:rsidP="000D54D9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B59F4" w:rsidRDefault="008B59F4" w:rsidP="000D54D9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54D9" w:rsidRPr="000D54D9" w:rsidRDefault="000D54D9" w:rsidP="000D54D9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D54D9">
        <w:rPr>
          <w:rFonts w:ascii="Times New Roman" w:hAnsi="Times New Roman" w:cs="Times New Roman"/>
          <w:sz w:val="24"/>
          <w:szCs w:val="24"/>
        </w:rPr>
        <w:lastRenderedPageBreak/>
        <w:t>Данные об объеме внутренних заимствований Томской области в 2018 году отражены в таблице</w:t>
      </w:r>
      <w:r w:rsidR="00C46951">
        <w:rPr>
          <w:rFonts w:ascii="Times New Roman" w:hAnsi="Times New Roman" w:cs="Times New Roman"/>
          <w:sz w:val="24"/>
          <w:szCs w:val="24"/>
        </w:rPr>
        <w:t>:</w:t>
      </w:r>
    </w:p>
    <w:p w:rsidR="000D54D9" w:rsidRDefault="000D54D9" w:rsidP="000D54D9">
      <w:pPr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54D9">
        <w:rPr>
          <w:rFonts w:ascii="Times New Roman" w:hAnsi="Times New Roman" w:cs="Times New Roman"/>
          <w:sz w:val="24"/>
          <w:szCs w:val="24"/>
        </w:rPr>
        <w:t xml:space="preserve">                                   (тыс. руб.)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1560"/>
        <w:gridCol w:w="1417"/>
        <w:gridCol w:w="1418"/>
        <w:gridCol w:w="1559"/>
      </w:tblGrid>
      <w:tr w:rsidR="002864B1" w:rsidRPr="002864B1" w:rsidTr="00AC22C2">
        <w:trPr>
          <w:trHeight w:val="5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заимствований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Закон Томской области «Об областном бюджете на 2018 год и на плановый период 2019 и 2020 годов» </w:t>
            </w:r>
          </w:p>
          <w:p w:rsidR="002864B1" w:rsidRPr="002864B1" w:rsidRDefault="002864B1" w:rsidP="002864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</w:t>
            </w:r>
          </w:p>
          <w:p w:rsidR="002864B1" w:rsidRPr="002864B1" w:rsidRDefault="002864B1" w:rsidP="002864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86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864B1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данным бухгалтерского учета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(+,-)</w:t>
            </w:r>
          </w:p>
          <w:p w:rsidR="002864B1" w:rsidRPr="002864B1" w:rsidRDefault="002864B1" w:rsidP="002864B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64B1" w:rsidRPr="002864B1" w:rsidTr="00AC22C2">
        <w:trPr>
          <w:trHeight w:val="9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ред. от 28.12.2017 № 156-ОЗ (первоначальная)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ред. от 29.12.2018 № 154-ОЗ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2864B1" w:rsidRPr="002864B1" w:rsidTr="00AC22C2">
        <w:trPr>
          <w:trHeight w:val="248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ценных бумаг Томской области: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-1 700 000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-1 700 439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-439,0</w:t>
            </w:r>
          </w:p>
        </w:tc>
      </w:tr>
      <w:tr w:rsidR="002864B1" w:rsidRPr="002864B1" w:rsidTr="00AC22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895 235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-204 765,0</w:t>
            </w:r>
          </w:p>
        </w:tc>
      </w:tr>
      <w:tr w:rsidR="002864B1" w:rsidRPr="002864B1" w:rsidTr="00AC22C2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2 595 674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-204 326,0</w:t>
            </w:r>
          </w:p>
        </w:tc>
      </w:tr>
      <w:tr w:rsidR="002864B1" w:rsidRPr="002864B1" w:rsidTr="00AC22C2">
        <w:trPr>
          <w:trHeight w:val="1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Кредиты, полученные от кредитных организаций: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6 995 273,4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5 852 748,7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2 850 000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-3 002 748,7</w:t>
            </w:r>
          </w:p>
        </w:tc>
      </w:tr>
      <w:tr w:rsidR="002864B1" w:rsidRPr="002864B1" w:rsidTr="00AC22C2">
        <w:trPr>
          <w:trHeight w:val="73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41 913 953,4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23 050 000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18 250 000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-4 800 000,0</w:t>
            </w:r>
          </w:p>
        </w:tc>
      </w:tr>
      <w:tr w:rsidR="002864B1" w:rsidRPr="002864B1" w:rsidTr="00AC22C2">
        <w:trPr>
          <w:trHeight w:val="1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34 918 680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17 197 251,3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-1 797 251,3</w:t>
            </w:r>
          </w:p>
        </w:tc>
      </w:tr>
      <w:tr w:rsidR="002864B1" w:rsidRPr="002864B1" w:rsidTr="00AC22C2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- 4 777 666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-435 141,3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-435 141,3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</w:tr>
      <w:tr w:rsidR="002864B1" w:rsidRPr="002864B1" w:rsidTr="00AC22C2">
        <w:trPr>
          <w:trHeight w:val="84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26 525 562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12 831 000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12 831 000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864B1" w:rsidRPr="002864B1" w:rsidTr="00AC22C2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31 303 228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13 266 141,3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13 266 141,3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864B1" w:rsidRPr="002864B1" w:rsidTr="00AC22C2">
        <w:trPr>
          <w:trHeight w:val="1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внутренних заимствований: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3 717 607,4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3 717 607,4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714 419,7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-3 003 187,7</w:t>
            </w:r>
          </w:p>
        </w:tc>
      </w:tr>
      <w:tr w:rsidR="002864B1" w:rsidRPr="002864B1" w:rsidTr="00AC22C2">
        <w:trPr>
          <w:trHeight w:val="70"/>
        </w:trPr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77 939 515,4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36 981 000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31 976 235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-5 004 765,0</w:t>
            </w:r>
          </w:p>
        </w:tc>
      </w:tr>
      <w:tr w:rsidR="002864B1" w:rsidRPr="002864B1" w:rsidTr="00AC22C2">
        <w:trPr>
          <w:trHeight w:val="111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74 221 908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33 263 392,6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31 261 815,3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4B1" w:rsidRPr="002864B1" w:rsidRDefault="002864B1" w:rsidP="002864B1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-2 001 577,3</w:t>
            </w:r>
          </w:p>
        </w:tc>
      </w:tr>
    </w:tbl>
    <w:p w:rsidR="000D54D9" w:rsidRDefault="000D54D9" w:rsidP="000D54D9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864B1" w:rsidRDefault="002864B1" w:rsidP="008B59F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864B1">
        <w:rPr>
          <w:rFonts w:ascii="Times New Roman" w:hAnsi="Times New Roman" w:cs="Times New Roman"/>
          <w:sz w:val="24"/>
          <w:szCs w:val="24"/>
        </w:rPr>
        <w:t>Контрольно-счетная палата при проверке исполнения областного бюджета неоднократно обращала внимание на невыполнение программы государственных внутренних заимствований Томской области, которая является приложением к закону об областном бюджете на текущий год и на плановый период.</w:t>
      </w:r>
    </w:p>
    <w:p w:rsidR="006169DB" w:rsidRDefault="006169DB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69DB">
        <w:rPr>
          <w:rFonts w:ascii="Times New Roman" w:hAnsi="Times New Roman" w:cs="Times New Roman"/>
          <w:sz w:val="24"/>
          <w:szCs w:val="24"/>
        </w:rPr>
        <w:t>Следует отметить, что при увеличении уровня дефицита областного бюджета в 2018 году, предусмотренного в законе Томской области «Об областном бюджете на 2018 год и на плановый период 2019 и 2020 годов» (с 3 763 438,4 тыс.руб. до 4 580 068,5 тыс.руб.) общие объемы привлечения и погашения были снижены более чем в 2 раза.</w:t>
      </w:r>
    </w:p>
    <w:p w:rsidR="002864B1" w:rsidRDefault="00453D4A" w:rsidP="008B59F4">
      <w:p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3D4A">
        <w:rPr>
          <w:rFonts w:ascii="Times New Roman" w:hAnsi="Times New Roman" w:cs="Times New Roman"/>
          <w:sz w:val="24"/>
          <w:szCs w:val="24"/>
        </w:rPr>
        <w:t xml:space="preserve">Департамент финансов в 2018 году осуществил заимствования </w:t>
      </w:r>
      <w:r w:rsidRPr="00B1462B">
        <w:rPr>
          <w:rFonts w:ascii="Times New Roman" w:hAnsi="Times New Roman" w:cs="Times New Roman"/>
          <w:sz w:val="24"/>
          <w:szCs w:val="24"/>
          <w:u w:val="single"/>
        </w:rPr>
        <w:t>на 15 361,49 тыс.руб. больше</w:t>
      </w:r>
      <w:r w:rsidRPr="00453D4A">
        <w:rPr>
          <w:rFonts w:ascii="Times New Roman" w:hAnsi="Times New Roman" w:cs="Times New Roman"/>
          <w:sz w:val="24"/>
          <w:szCs w:val="24"/>
        </w:rPr>
        <w:t>, чем направил на финансирование дефицита областного бюджета и на погашение долговых обязательств</w:t>
      </w:r>
      <w:r w:rsidR="00B1462B">
        <w:rPr>
          <w:rFonts w:ascii="Times New Roman" w:hAnsi="Times New Roman" w:cs="Times New Roman"/>
          <w:sz w:val="24"/>
          <w:szCs w:val="24"/>
        </w:rPr>
        <w:t>, что является нарушением ст.106 Бюджетного кодекса РФ</w:t>
      </w:r>
      <w:r w:rsidR="00B1462B" w:rsidRPr="00453D4A">
        <w:rPr>
          <w:rFonts w:ascii="Times New Roman" w:hAnsi="Times New Roman" w:cs="Times New Roman"/>
          <w:sz w:val="24"/>
          <w:szCs w:val="24"/>
        </w:rPr>
        <w:t>.</w:t>
      </w:r>
    </w:p>
    <w:p w:rsidR="00B1462B" w:rsidRDefault="00B1462B" w:rsidP="008B59F4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  <w:rPr>
          <w:shd w:val="clear" w:color="auto" w:fill="FFFFFF"/>
        </w:rPr>
      </w:pPr>
      <w:r>
        <w:t>Согласно</w:t>
      </w:r>
      <w:r w:rsidRPr="006A5862">
        <w:t xml:space="preserve"> Пояснительной записке</w:t>
      </w:r>
      <w:r>
        <w:t xml:space="preserve"> </w:t>
      </w:r>
      <w:r w:rsidRPr="006A5862">
        <w:t>объем государственного долга</w:t>
      </w:r>
      <w:r>
        <w:t xml:space="preserve"> Томской области по ценным бумагам состоит из биржевых облигаций и облигаций для населения. В эмиссионных документах Томской области </w:t>
      </w:r>
      <w:r w:rsidRPr="004D485D">
        <w:rPr>
          <w:shd w:val="clear" w:color="auto" w:fill="FFFFFF"/>
        </w:rPr>
        <w:t xml:space="preserve">указано, что владельцами Облигаций могут быть любые </w:t>
      </w:r>
      <w:r w:rsidRPr="00B1462B">
        <w:rPr>
          <w:u w:val="single"/>
          <w:shd w:val="clear" w:color="auto" w:fill="FFFFFF"/>
        </w:rPr>
        <w:t>юридические</w:t>
      </w:r>
      <w:r w:rsidRPr="004D485D">
        <w:rPr>
          <w:shd w:val="clear" w:color="auto" w:fill="FFFFFF"/>
        </w:rPr>
        <w:t xml:space="preserve"> и </w:t>
      </w:r>
      <w:r>
        <w:rPr>
          <w:shd w:val="clear" w:color="auto" w:fill="FFFFFF"/>
        </w:rPr>
        <w:t xml:space="preserve">физические лица без ограничений. </w:t>
      </w:r>
    </w:p>
    <w:p w:rsidR="00B1462B" w:rsidRDefault="00B1462B" w:rsidP="008B59F4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Таким образом, использование термина «облигации для населения» в Пояснительной записке противоречит информации, указанной в эмиссионных документах Томской области, т.к. любое юридическое лицо может быть владельцем указанных облигаций.  </w:t>
      </w:r>
    </w:p>
    <w:p w:rsidR="00B1462B" w:rsidRDefault="00B1462B" w:rsidP="008B59F4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</w:pPr>
    </w:p>
    <w:p w:rsidR="00B964AF" w:rsidRDefault="00B964AF" w:rsidP="008B59F4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Департаментом финансов при подготовке законопроекта об областном бюджете на 2018 год и на плановый период 2019 и 2020 годов в пояснительной записке указывалось о запланированных операциях, связанных с активным управлением государственным долгом, в том числе осуществление операций РЕПО с биржевыми облигациями, выкуп ранее размещенных биржевых облигаций (до даты их погашения), указанные операции в 2018 году не проводились.</w:t>
      </w:r>
    </w:p>
    <w:p w:rsidR="00B964AF" w:rsidRPr="00B964AF" w:rsidRDefault="00B964AF" w:rsidP="008B59F4">
      <w:pPr>
        <w:pStyle w:val="Textbody"/>
        <w:tabs>
          <w:tab w:val="left" w:pos="9900"/>
          <w:tab w:val="left" w:pos="10080"/>
        </w:tabs>
        <w:spacing w:after="0"/>
        <w:ind w:firstLine="709"/>
        <w:jc w:val="both"/>
        <w:rPr>
          <w:shd w:val="clear" w:color="auto" w:fill="FFFFFF"/>
        </w:rPr>
      </w:pPr>
      <w:r w:rsidRPr="00B964AF">
        <w:rPr>
          <w:shd w:val="clear" w:color="auto" w:fill="FFFFFF"/>
        </w:rPr>
        <w:t>Информация об утвержденных Законом об областном бюджете расходах на обслуживание государственного долга, а также фактическое исполнение указанных расходов за 2018 год представлена в таблице.</w:t>
      </w:r>
    </w:p>
    <w:p w:rsidR="00B964AF" w:rsidRDefault="00C46951" w:rsidP="00B964AF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right"/>
        <w:rPr>
          <w:shd w:val="clear" w:color="auto" w:fill="FFFFFF"/>
        </w:rPr>
      </w:pPr>
      <w:r w:rsidRPr="00B964AF">
        <w:rPr>
          <w:shd w:val="clear" w:color="auto" w:fill="FFFFFF"/>
        </w:rPr>
        <w:t xml:space="preserve"> </w:t>
      </w:r>
      <w:r w:rsidR="00B964AF" w:rsidRPr="00B964AF">
        <w:rPr>
          <w:shd w:val="clear" w:color="auto" w:fill="FFFFFF"/>
        </w:rPr>
        <w:t>(тыс.руб.)</w:t>
      </w:r>
    </w:p>
    <w:tbl>
      <w:tblPr>
        <w:tblStyle w:val="1"/>
        <w:tblW w:w="8536" w:type="dxa"/>
        <w:tblLayout w:type="fixed"/>
        <w:tblLook w:val="04A0" w:firstRow="1" w:lastRow="0" w:firstColumn="1" w:lastColumn="0" w:noHBand="0" w:noVBand="1"/>
      </w:tblPr>
      <w:tblGrid>
        <w:gridCol w:w="2734"/>
        <w:gridCol w:w="2268"/>
        <w:gridCol w:w="1559"/>
        <w:gridCol w:w="1975"/>
      </w:tblGrid>
      <w:tr w:rsidR="00C46951" w:rsidRPr="00B964AF" w:rsidTr="00C46951">
        <w:tc>
          <w:tcPr>
            <w:tcW w:w="6561" w:type="dxa"/>
            <w:gridSpan w:val="3"/>
            <w:tcMar>
              <w:left w:w="0" w:type="dxa"/>
              <w:right w:w="0" w:type="dxa"/>
            </w:tcMar>
            <w:vAlign w:val="center"/>
          </w:tcPr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1">
              <w:rPr>
                <w:rFonts w:ascii="Times New Roman" w:eastAsia="Times New Roman" w:hAnsi="Times New Roman" w:cs="Times New Roman"/>
                <w:lang w:eastAsia="ru-RU"/>
              </w:rPr>
              <w:t>Закон Томской области «Об областном бюджете на 2018 год и на плановый период 2019 и 2020 годов»</w:t>
            </w:r>
          </w:p>
        </w:tc>
        <w:tc>
          <w:tcPr>
            <w:tcW w:w="1975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46951">
              <w:rPr>
                <w:rFonts w:ascii="Times New Roman" w:eastAsia="Times New Roman" w:hAnsi="Times New Roman" w:cs="Times New Roman"/>
                <w:lang w:eastAsia="ru-RU"/>
              </w:rPr>
              <w:t>Фактическое исполнение</w:t>
            </w:r>
          </w:p>
        </w:tc>
      </w:tr>
      <w:tr w:rsidR="00C46951" w:rsidRPr="00B964AF" w:rsidTr="00C46951">
        <w:tc>
          <w:tcPr>
            <w:tcW w:w="2734" w:type="dxa"/>
            <w:tcMar>
              <w:left w:w="0" w:type="dxa"/>
              <w:right w:w="0" w:type="dxa"/>
            </w:tcMar>
            <w:vAlign w:val="center"/>
          </w:tcPr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редакция</w:t>
            </w:r>
          </w:p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(от 28.12.2017 № 156-ОЗ)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окончательная</w:t>
            </w:r>
            <w:r w:rsidRPr="00C46951">
              <w:rPr>
                <w:rFonts w:ascii="Times New Roman" w:eastAsia="Times New Roman" w:hAnsi="Times New Roman" w:cs="Times New Roman"/>
                <w:lang w:eastAsia="ru-RU"/>
              </w:rPr>
              <w:t xml:space="preserve"> редакция</w:t>
            </w:r>
          </w:p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1">
              <w:rPr>
                <w:rFonts w:ascii="Times New Roman" w:eastAsia="Times New Roman" w:hAnsi="Times New Roman" w:cs="Times New Roman"/>
                <w:lang w:eastAsia="ru-RU"/>
              </w:rPr>
              <w:t>(от 29.12.2018 № 154-ОЗ)</w:t>
            </w:r>
          </w:p>
        </w:tc>
        <w:tc>
          <w:tcPr>
            <w:tcW w:w="1559" w:type="dxa"/>
          </w:tcPr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46951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975" w:type="dxa"/>
            <w:vMerge/>
            <w:noWrap/>
            <w:tcMar>
              <w:left w:w="0" w:type="dxa"/>
              <w:right w:w="0" w:type="dxa"/>
            </w:tcMar>
            <w:vAlign w:val="center"/>
          </w:tcPr>
          <w:p w:rsidR="00C46951" w:rsidRPr="00C46951" w:rsidRDefault="00C46951" w:rsidP="00B964AF">
            <w:pPr>
              <w:tabs>
                <w:tab w:val="left" w:pos="10080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C46951" w:rsidRPr="00B964AF" w:rsidTr="00C46951">
        <w:trPr>
          <w:trHeight w:val="549"/>
        </w:trPr>
        <w:tc>
          <w:tcPr>
            <w:tcW w:w="2734" w:type="dxa"/>
            <w:noWrap/>
            <w:tcMar>
              <w:left w:w="0" w:type="dxa"/>
              <w:right w:w="0" w:type="dxa"/>
            </w:tcMar>
            <w:vAlign w:val="center"/>
          </w:tcPr>
          <w:p w:rsidR="00C46951" w:rsidRPr="00B964AF" w:rsidRDefault="00C46951" w:rsidP="00B964AF">
            <w:pPr>
              <w:tabs>
                <w:tab w:val="left" w:pos="10080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2 512 725</w:t>
            </w:r>
          </w:p>
        </w:tc>
        <w:tc>
          <w:tcPr>
            <w:tcW w:w="2268" w:type="dxa"/>
            <w:noWrap/>
            <w:tcMar>
              <w:left w:w="0" w:type="dxa"/>
              <w:right w:w="0" w:type="dxa"/>
            </w:tcMar>
            <w:vAlign w:val="center"/>
          </w:tcPr>
          <w:p w:rsidR="00C46951" w:rsidRPr="00B964AF" w:rsidRDefault="00C46951" w:rsidP="00B964AF">
            <w:pPr>
              <w:tabs>
                <w:tab w:val="left" w:pos="10080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1 775 523</w:t>
            </w:r>
          </w:p>
        </w:tc>
        <w:tc>
          <w:tcPr>
            <w:tcW w:w="1559" w:type="dxa"/>
            <w:vAlign w:val="center"/>
          </w:tcPr>
          <w:p w:rsidR="00C46951" w:rsidRPr="00B964AF" w:rsidRDefault="00C46951" w:rsidP="00B964AF">
            <w:pPr>
              <w:tabs>
                <w:tab w:val="left" w:pos="10080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9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-737 202</w:t>
            </w:r>
          </w:p>
        </w:tc>
        <w:tc>
          <w:tcPr>
            <w:tcW w:w="1975" w:type="dxa"/>
            <w:noWrap/>
            <w:tcMar>
              <w:left w:w="0" w:type="dxa"/>
              <w:right w:w="0" w:type="dxa"/>
            </w:tcMar>
            <w:vAlign w:val="center"/>
          </w:tcPr>
          <w:p w:rsidR="00C46951" w:rsidRPr="00B964AF" w:rsidRDefault="00C46951" w:rsidP="00B964AF">
            <w:pPr>
              <w:tabs>
                <w:tab w:val="left" w:pos="10080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96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1 784 803,6</w:t>
            </w:r>
          </w:p>
        </w:tc>
      </w:tr>
    </w:tbl>
    <w:p w:rsidR="00B964AF" w:rsidRDefault="00B964AF" w:rsidP="00B964AF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right"/>
        <w:rPr>
          <w:shd w:val="clear" w:color="auto" w:fill="FFFFFF"/>
        </w:rPr>
      </w:pPr>
    </w:p>
    <w:p w:rsidR="00B964AF" w:rsidRPr="00B964AF" w:rsidRDefault="00B964AF" w:rsidP="008B59F4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  <w:rPr>
          <w:shd w:val="clear" w:color="auto" w:fill="FFFFFF"/>
        </w:rPr>
      </w:pPr>
      <w:r w:rsidRPr="00B964AF">
        <w:rPr>
          <w:shd w:val="clear" w:color="auto" w:fill="FFFFFF"/>
        </w:rPr>
        <w:t>Следует отметить, что первоначальный размер расходов на обслуживание государственного долга существенно превышал сумму, указанную в последней редакции закона об областном бюджете.</w:t>
      </w:r>
    </w:p>
    <w:p w:rsidR="006A5862" w:rsidRDefault="00B964AF" w:rsidP="008B59F4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  <w:rPr>
          <w:shd w:val="clear" w:color="auto" w:fill="FFFFFF"/>
        </w:rPr>
      </w:pPr>
      <w:r w:rsidRPr="00B964AF">
        <w:rPr>
          <w:shd w:val="clear" w:color="auto" w:fill="FFFFFF"/>
        </w:rPr>
        <w:t>Расходы на обслуживание государственного долга составили 3% от объема расходов областного бюджета и не превысили предельного размера, установленного Бюджетным кодексом РФ (15%).</w:t>
      </w:r>
    </w:p>
    <w:p w:rsidR="00B964AF" w:rsidRPr="004D485D" w:rsidRDefault="00B964AF" w:rsidP="008B59F4">
      <w:pPr>
        <w:pStyle w:val="Textbody"/>
        <w:tabs>
          <w:tab w:val="left" w:pos="9900"/>
          <w:tab w:val="left" w:pos="10080"/>
        </w:tabs>
        <w:spacing w:after="0" w:line="276" w:lineRule="auto"/>
        <w:ind w:firstLine="709"/>
        <w:jc w:val="both"/>
        <w:rPr>
          <w:shd w:val="clear" w:color="auto" w:fill="FFFFFF"/>
        </w:rPr>
      </w:pPr>
      <w:r w:rsidRPr="00057CD8">
        <w:rPr>
          <w:color w:val="000000"/>
        </w:rPr>
        <w:t xml:space="preserve">Прочие расходы, связанные с обслуживанием государственного внутреннего долга Томской области, в 2018 году составили 9 435,8 тыс.руб. и </w:t>
      </w:r>
      <w:r w:rsidRPr="00C46951">
        <w:rPr>
          <w:color w:val="000000"/>
          <w:u w:val="single"/>
        </w:rPr>
        <w:t>уменьшились по сравнению с 2017 годом на 14 955,7 тыс.руб., или на 61,3%.</w:t>
      </w:r>
    </w:p>
    <w:p w:rsidR="002864B1" w:rsidRPr="00040435" w:rsidRDefault="002864B1" w:rsidP="000D54D9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2864B1" w:rsidRPr="00040435" w:rsidSect="00184B3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12" w:rsidRDefault="00C40C12" w:rsidP="00184B30">
      <w:pPr>
        <w:spacing w:after="0" w:line="240" w:lineRule="auto"/>
      </w:pPr>
      <w:r>
        <w:separator/>
      </w:r>
    </w:p>
  </w:endnote>
  <w:endnote w:type="continuationSeparator" w:id="0">
    <w:p w:rsidR="00C40C12" w:rsidRDefault="00C40C12" w:rsidP="0018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12" w:rsidRDefault="00C40C12" w:rsidP="00184B30">
      <w:pPr>
        <w:spacing w:after="0" w:line="240" w:lineRule="auto"/>
      </w:pPr>
      <w:r>
        <w:separator/>
      </w:r>
    </w:p>
  </w:footnote>
  <w:footnote w:type="continuationSeparator" w:id="0">
    <w:p w:rsidR="00C40C12" w:rsidRDefault="00C40C12" w:rsidP="0018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921050"/>
      <w:docPartObj>
        <w:docPartGallery w:val="Page Numbers (Top of Page)"/>
        <w:docPartUnique/>
      </w:docPartObj>
    </w:sdtPr>
    <w:sdtEndPr/>
    <w:sdtContent>
      <w:p w:rsidR="00184B30" w:rsidRDefault="00184B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56F">
          <w:rPr>
            <w:noProof/>
          </w:rPr>
          <w:t>4</w:t>
        </w:r>
        <w:r>
          <w:fldChar w:fldCharType="end"/>
        </w:r>
      </w:p>
    </w:sdtContent>
  </w:sdt>
  <w:p w:rsidR="00184B30" w:rsidRDefault="00184B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FE"/>
    <w:rsid w:val="00040435"/>
    <w:rsid w:val="000D54D9"/>
    <w:rsid w:val="00184B30"/>
    <w:rsid w:val="002864B1"/>
    <w:rsid w:val="002B7DE0"/>
    <w:rsid w:val="00411966"/>
    <w:rsid w:val="00453D4A"/>
    <w:rsid w:val="006169DB"/>
    <w:rsid w:val="006A5862"/>
    <w:rsid w:val="008B59F4"/>
    <w:rsid w:val="008C60B3"/>
    <w:rsid w:val="0091456F"/>
    <w:rsid w:val="00A007B5"/>
    <w:rsid w:val="00A629CB"/>
    <w:rsid w:val="00AA5AFE"/>
    <w:rsid w:val="00B1462B"/>
    <w:rsid w:val="00B964AF"/>
    <w:rsid w:val="00C17152"/>
    <w:rsid w:val="00C40C12"/>
    <w:rsid w:val="00C46951"/>
    <w:rsid w:val="00CC5FD5"/>
    <w:rsid w:val="00D228DA"/>
    <w:rsid w:val="00DB62FD"/>
    <w:rsid w:val="00E01D32"/>
    <w:rsid w:val="00F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A5862"/>
    <w:pPr>
      <w:suppressAutoHyphens/>
      <w:autoSpaceDN w:val="0"/>
      <w:spacing w:after="12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964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4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2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B30"/>
  </w:style>
  <w:style w:type="paragraph" w:styleId="a8">
    <w:name w:val="footer"/>
    <w:basedOn w:val="a"/>
    <w:link w:val="a9"/>
    <w:uiPriority w:val="99"/>
    <w:unhideWhenUsed/>
    <w:rsid w:val="0018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left="23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A5862"/>
    <w:pPr>
      <w:suppressAutoHyphens/>
      <w:autoSpaceDN w:val="0"/>
      <w:spacing w:after="12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964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4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2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B30"/>
  </w:style>
  <w:style w:type="paragraph" w:styleId="a8">
    <w:name w:val="footer"/>
    <w:basedOn w:val="a"/>
    <w:link w:val="a9"/>
    <w:uiPriority w:val="99"/>
    <w:unhideWhenUsed/>
    <w:rsid w:val="0018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01\&#1043;&#1088;&#1091;&#1087;&#1087;&#1072;%203\&#1055;&#1088;&#1086;&#1074;&#1077;&#1088;&#1082;&#1080;%202019%20&#1075;&#1086;&#1076;&#1072;\&#1054;&#1090;&#1095;&#1077;&#1090;%20&#1086;&#1073;%20&#1080;&#1089;&#1087;&#1086;&#1083;&#1085;&#1077;&#1085;&#1080;&#1080;%20&#1073;&#1102;&#1076;&#1078;&#1077;&#1090;&#1072;%20&#1079;&#1072;%202018%20&#1075;&#1086;&#1076;%20(&#1075;&#1086;&#1089;&#1076;&#1086;&#1083;&#1075;,%20&#1082;&#1086;&#1090;&#1077;&#1083;&#1100;&#1085;&#1099;&#1077;)\&#1056;&#1072;&#1089;&#1095;&#1077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Темп</a:t>
            </a:r>
            <a:r>
              <a:rPr lang="ru-RU" sz="14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роста госдолга Томской области</a:t>
            </a:r>
            <a:endParaRPr lang="ru-RU" sz="14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438339621475358E-3"/>
                  <c:y val="7.86379922262657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438339621475167E-3"/>
                  <c:y val="7.148908384205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7.50635380341627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438339621475544E-3"/>
                  <c:y val="7.14890838420597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438339621474794E-3"/>
                  <c:y val="7.50635380341627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4939712902118758E-17"/>
                  <c:y val="7.148908384205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7.14890838420597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9698053304477198E-4"/>
                  <c:y val="7.14890838420598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Лист1!$B$2:$I$2</c:f>
              <c:strCache>
                <c:ptCount val="8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  <c:pt idx="5">
                  <c:v>2016 г.</c:v>
                </c:pt>
                <c:pt idx="6">
                  <c:v>2017 г.</c:v>
                </c:pt>
                <c:pt idx="7">
                  <c:v>2018 г.</c:v>
                </c:pt>
              </c:strCache>
            </c:strRef>
          </c:cat>
          <c:val>
            <c:numRef>
              <c:f>Лист1!$B$3:$I$3</c:f>
              <c:numCache>
                <c:formatCode>General</c:formatCode>
                <c:ptCount val="8"/>
                <c:pt idx="0">
                  <c:v>6.9</c:v>
                </c:pt>
                <c:pt idx="1">
                  <c:v>10.3</c:v>
                </c:pt>
                <c:pt idx="2">
                  <c:v>14.6</c:v>
                </c:pt>
                <c:pt idx="3">
                  <c:v>19.899999999999999</c:v>
                </c:pt>
                <c:pt idx="4">
                  <c:v>23.2</c:v>
                </c:pt>
                <c:pt idx="5">
                  <c:v>25.7</c:v>
                </c:pt>
                <c:pt idx="6">
                  <c:v>28.4</c:v>
                </c:pt>
                <c:pt idx="7" formatCode="0.0">
                  <c:v>28.994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2"/>
        <c:overlap val="-27"/>
        <c:axId val="96495488"/>
        <c:axId val="104784640"/>
      </c:barChart>
      <c:catAx>
        <c:axId val="9649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784640"/>
        <c:crosses val="autoZero"/>
        <c:auto val="1"/>
        <c:lblAlgn val="ctr"/>
        <c:lblOffset val="100"/>
        <c:noMultiLvlLbl val="0"/>
      </c:catAx>
      <c:valAx>
        <c:axId val="10478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млрд.руб.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49548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погашения долговых обязательств (%)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Погашение!$B$2:$H$2</c:f>
              <c:strCache>
                <c:ptCount val="7"/>
                <c:pt idx="0">
                  <c:v>2019 г. </c:v>
                </c:pt>
                <c:pt idx="1">
                  <c:v>2020 г.</c:v>
                </c:pt>
                <c:pt idx="2">
                  <c:v>2021 г.</c:v>
                </c:pt>
                <c:pt idx="3">
                  <c:v>2022 г. </c:v>
                </c:pt>
                <c:pt idx="4">
                  <c:v>2023 г. </c:v>
                </c:pt>
                <c:pt idx="5">
                  <c:v>2024 г. </c:v>
                </c:pt>
                <c:pt idx="6">
                  <c:v>2025-2034 г.</c:v>
                </c:pt>
              </c:strCache>
            </c:strRef>
          </c:cat>
          <c:val>
            <c:numRef>
              <c:f>Погашение!$B$3:$H$3</c:f>
              <c:numCache>
                <c:formatCode>0%</c:formatCode>
                <c:ptCount val="7"/>
                <c:pt idx="0">
                  <c:v>0.29290711706831601</c:v>
                </c:pt>
                <c:pt idx="1">
                  <c:v>0.23824464935815229</c:v>
                </c:pt>
                <c:pt idx="2">
                  <c:v>0.16149433352251541</c:v>
                </c:pt>
                <c:pt idx="3">
                  <c:v>0.12038976461545649</c:v>
                </c:pt>
                <c:pt idx="4">
                  <c:v>0.12038976461545649</c:v>
                </c:pt>
                <c:pt idx="5">
                  <c:v>6.0032607780351604E-2</c:v>
                </c:pt>
                <c:pt idx="6">
                  <c:v>6.5417630397516706E-3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1"/>
        <c:axId val="87295872"/>
        <c:axId val="106984960"/>
      </c:barChart>
      <c:catAx>
        <c:axId val="8729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6984960"/>
        <c:crosses val="autoZero"/>
        <c:auto val="1"/>
        <c:lblAlgn val="ctr"/>
        <c:lblOffset val="100"/>
        <c:noMultiLvlLbl val="0"/>
      </c:catAx>
      <c:valAx>
        <c:axId val="106984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7295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0.18005</cdr:x>
      <cdr:y>0.66763</cdr:y>
    </cdr:from>
    <cdr:to>
      <cdr:x>0.2225</cdr:x>
      <cdr:y>0.75218</cdr:y>
    </cdr:to>
    <cdr:sp macro="" textlink="">
      <cdr:nvSpPr>
        <cdr:cNvPr id="2" name="Стрелка углом 1"/>
        <cdr:cNvSpPr/>
      </cdr:nvSpPr>
      <cdr:spPr>
        <a:xfrm xmlns:a="http://schemas.openxmlformats.org/drawingml/2006/main">
          <a:off x="1118823" y="2372092"/>
          <a:ext cx="263769" cy="300404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0.28763</cdr:x>
      <cdr:y>0.56903</cdr:y>
    </cdr:from>
    <cdr:to>
      <cdr:x>0.33334</cdr:x>
      <cdr:y>0.67794</cdr:y>
    </cdr:to>
    <cdr:sp macro="" textlink="">
      <cdr:nvSpPr>
        <cdr:cNvPr id="3" name="Стрелка углом 2"/>
        <cdr:cNvSpPr/>
      </cdr:nvSpPr>
      <cdr:spPr>
        <a:xfrm xmlns:a="http://schemas.openxmlformats.org/drawingml/2006/main">
          <a:off x="1787282" y="2021742"/>
          <a:ext cx="284040" cy="386984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>
            <a:ln>
              <a:solidFill>
                <a:schemeClr val="bg1"/>
              </a:solidFill>
            </a:ln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0.39847</cdr:x>
      <cdr:y>0.45354</cdr:y>
    </cdr:from>
    <cdr:to>
      <cdr:x>0.44328</cdr:x>
      <cdr:y>0.5769</cdr:y>
    </cdr:to>
    <cdr:sp macro="" textlink="">
      <cdr:nvSpPr>
        <cdr:cNvPr id="4" name="Стрелка углом 3"/>
        <cdr:cNvSpPr/>
      </cdr:nvSpPr>
      <cdr:spPr>
        <a:xfrm xmlns:a="http://schemas.openxmlformats.org/drawingml/2006/main">
          <a:off x="2476012" y="1611433"/>
          <a:ext cx="278423" cy="438273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0.50931</cdr:x>
      <cdr:y>0.37518</cdr:y>
    </cdr:from>
    <cdr:to>
      <cdr:x>0.55411</cdr:x>
      <cdr:y>0.45935</cdr:y>
    </cdr:to>
    <cdr:sp macro="" textlink="">
      <cdr:nvSpPr>
        <cdr:cNvPr id="5" name="Стрелка углом 4"/>
        <cdr:cNvSpPr/>
      </cdr:nvSpPr>
      <cdr:spPr>
        <a:xfrm xmlns:a="http://schemas.openxmlformats.org/drawingml/2006/main">
          <a:off x="3164742" y="1333011"/>
          <a:ext cx="278423" cy="299061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0.61897</cdr:x>
      <cdr:y>0.3195</cdr:y>
    </cdr:from>
    <cdr:to>
      <cdr:x>0.66377</cdr:x>
      <cdr:y>0.38718</cdr:y>
    </cdr:to>
    <cdr:sp macro="" textlink="">
      <cdr:nvSpPr>
        <cdr:cNvPr id="6" name="Стрелка углом 5"/>
        <cdr:cNvSpPr/>
      </cdr:nvSpPr>
      <cdr:spPr>
        <a:xfrm xmlns:a="http://schemas.openxmlformats.org/drawingml/2006/main">
          <a:off x="3846146" y="1135185"/>
          <a:ext cx="278423" cy="240445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0.72981</cdr:x>
      <cdr:y>0.26588</cdr:y>
    </cdr:from>
    <cdr:to>
      <cdr:x>0.77461</cdr:x>
      <cdr:y>0.33356</cdr:y>
    </cdr:to>
    <cdr:sp macro="" textlink="">
      <cdr:nvSpPr>
        <cdr:cNvPr id="7" name="Стрелка углом 6"/>
        <cdr:cNvSpPr/>
      </cdr:nvSpPr>
      <cdr:spPr>
        <a:xfrm xmlns:a="http://schemas.openxmlformats.org/drawingml/2006/main">
          <a:off x="4534877" y="944684"/>
          <a:ext cx="278423" cy="240445"/>
        </a:xfrm>
        <a:prstGeom xmlns:a="http://schemas.openxmlformats.org/drawingml/2006/main" prst="bentArrow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0.84273</cdr:x>
      <cdr:y>0.24282</cdr:y>
    </cdr:from>
    <cdr:to>
      <cdr:x>0.88518</cdr:x>
      <cdr:y>0.28407</cdr:y>
    </cdr:to>
    <cdr:sp macro="" textlink="">
      <cdr:nvSpPr>
        <cdr:cNvPr id="9" name="Стрелка вправо 8"/>
        <cdr:cNvSpPr/>
      </cdr:nvSpPr>
      <cdr:spPr>
        <a:xfrm xmlns:a="http://schemas.openxmlformats.org/drawingml/2006/main">
          <a:off x="5236552" y="862746"/>
          <a:ext cx="263769" cy="146538"/>
        </a:xfrm>
        <a:prstGeom xmlns:a="http://schemas.openxmlformats.org/drawingml/2006/main" prst="rightArrow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0.15175</cdr:x>
      <cdr:y>0.61402</cdr:y>
    </cdr:from>
    <cdr:to>
      <cdr:x>0.25406</cdr:x>
      <cdr:y>0.68207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901363" y="2085590"/>
          <a:ext cx="607678" cy="231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49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0.25788</cdr:x>
      <cdr:y>0.50472</cdr:y>
    </cdr:from>
    <cdr:to>
      <cdr:x>0.35928</cdr:x>
      <cdr:y>0.56865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02399" y="1793265"/>
          <a:ext cx="630115" cy="2271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+41%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0.37343</cdr:x>
      <cdr:y>0.3913</cdr:y>
    </cdr:from>
    <cdr:to>
      <cdr:x>0.49135</cdr:x>
      <cdr:y>0.47379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2320438" y="1390284"/>
          <a:ext cx="732692" cy="2930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+36%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0.48545</cdr:x>
      <cdr:y>0.31087</cdr:y>
    </cdr:from>
    <cdr:to>
      <cdr:x>0.58686</cdr:x>
      <cdr:y>0.40367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016495" y="1104534"/>
          <a:ext cx="630115" cy="329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+17%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0.60101</cdr:x>
      <cdr:y>0.2552</cdr:y>
    </cdr:from>
    <cdr:to>
      <cdr:x>0.7142</cdr:x>
      <cdr:y>0.34387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3734534" y="906707"/>
          <a:ext cx="703384" cy="315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+11%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0.70831</cdr:x>
      <cdr:y>0.21395</cdr:y>
    </cdr:from>
    <cdr:to>
      <cdr:x>0.82504</cdr:x>
      <cdr:y>0.31087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4401284" y="760168"/>
          <a:ext cx="725365" cy="3443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+11%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0.82339</cdr:x>
      <cdr:y>0.18507</cdr:y>
    </cdr:from>
    <cdr:to>
      <cdr:x>0.92362</cdr:x>
      <cdr:y>0.26962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4890744" y="628619"/>
          <a:ext cx="595345" cy="287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+2%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Андрей Валентинович</dc:creator>
  <cp:keywords/>
  <dc:description/>
  <cp:lastModifiedBy>Вторушин Геннадий Алексеевич</cp:lastModifiedBy>
  <cp:revision>19</cp:revision>
  <cp:lastPrinted>2019-05-30T08:59:00Z</cp:lastPrinted>
  <dcterms:created xsi:type="dcterms:W3CDTF">2019-05-29T02:53:00Z</dcterms:created>
  <dcterms:modified xsi:type="dcterms:W3CDTF">2019-07-12T04:49:00Z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