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17" w:rsidRPr="008029FA" w:rsidRDefault="001E4617" w:rsidP="008029F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8029FA">
        <w:rPr>
          <w:rFonts w:ascii="Times New Roman" w:hAnsi="Times New Roman"/>
          <w:b/>
          <w:sz w:val="28"/>
          <w:szCs w:val="28"/>
          <w:lang w:eastAsia="ru-RU"/>
        </w:rPr>
        <w:t>Заключение</w:t>
      </w:r>
    </w:p>
    <w:p w:rsidR="001E4617" w:rsidRPr="008029FA" w:rsidRDefault="001E4617" w:rsidP="008029F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29FA">
        <w:rPr>
          <w:rFonts w:ascii="Times New Roman" w:hAnsi="Times New Roman"/>
          <w:b/>
          <w:sz w:val="28"/>
          <w:szCs w:val="28"/>
          <w:lang w:eastAsia="ru-RU"/>
        </w:rPr>
        <w:t>Контрольно-счетной палаты Томской области</w:t>
      </w:r>
    </w:p>
    <w:p w:rsidR="001E4617" w:rsidRPr="008029FA" w:rsidRDefault="001E4617" w:rsidP="008029F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29FA">
        <w:rPr>
          <w:rFonts w:ascii="Times New Roman" w:hAnsi="Times New Roman"/>
          <w:b/>
          <w:sz w:val="28"/>
          <w:szCs w:val="28"/>
          <w:lang w:eastAsia="ru-RU"/>
        </w:rPr>
        <w:t>на проект закона Томской области «Об областном бюджете на 2020 год</w:t>
      </w:r>
    </w:p>
    <w:p w:rsidR="001E4617" w:rsidRPr="008029FA" w:rsidRDefault="001E4617" w:rsidP="008029F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29FA">
        <w:rPr>
          <w:rFonts w:ascii="Times New Roman" w:hAnsi="Times New Roman"/>
          <w:b/>
          <w:sz w:val="28"/>
          <w:szCs w:val="28"/>
          <w:lang w:eastAsia="ru-RU"/>
        </w:rPr>
        <w:t>и на плановый период 2021 и 2022 годов»</w:t>
      </w:r>
    </w:p>
    <w:p w:rsidR="001E4617" w:rsidRDefault="001E4617" w:rsidP="003223F3">
      <w:pPr>
        <w:spacing w:line="25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E4617" w:rsidRPr="003223F3" w:rsidRDefault="001E4617" w:rsidP="003223F3">
      <w:pPr>
        <w:spacing w:line="25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23F3">
        <w:rPr>
          <w:rFonts w:ascii="Times New Roman" w:hAnsi="Times New Roman"/>
          <w:b/>
          <w:sz w:val="24"/>
          <w:szCs w:val="24"/>
          <w:lang w:eastAsia="ru-RU"/>
        </w:rPr>
        <w:t>1. Общие положения</w:t>
      </w:r>
    </w:p>
    <w:p w:rsidR="001E4617" w:rsidRPr="003223F3" w:rsidRDefault="001E4617" w:rsidP="004A63AF">
      <w:pPr>
        <w:spacing w:before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23F3">
        <w:rPr>
          <w:rFonts w:ascii="Times New Roman" w:hAnsi="Times New Roman"/>
          <w:sz w:val="24"/>
          <w:szCs w:val="24"/>
          <w:lang w:eastAsia="ru-RU"/>
        </w:rPr>
        <w:t>Заключение Контрольно-счетной палаты Томской области (далее – Заключение) на проект закона Томской области «Об областном  бюджете на 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3223F3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3223F3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3223F3">
        <w:rPr>
          <w:rFonts w:ascii="Times New Roman" w:hAnsi="Times New Roman"/>
          <w:sz w:val="24"/>
          <w:szCs w:val="24"/>
          <w:lang w:eastAsia="ru-RU"/>
        </w:rPr>
        <w:t xml:space="preserve"> годов» (далее – законопроект, проект закона) подготовлено в соответствии с Бюджетным кодексом РФ, законами Томской области «О Контрольно-счетной палате Томской области», «О бюджетном процессе в Томской области» и иными нормативными правовыми актами Российской Федерации и Томской области.</w:t>
      </w:r>
    </w:p>
    <w:p w:rsidR="001E4617" w:rsidRDefault="001E4617" w:rsidP="004A63A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23F3">
        <w:rPr>
          <w:rFonts w:ascii="Times New Roman" w:hAnsi="Times New Roman"/>
          <w:sz w:val="24"/>
          <w:szCs w:val="24"/>
          <w:lang w:eastAsia="ru-RU"/>
        </w:rPr>
        <w:t>Контрольно-счетной палатой проанализированы представленный Администрацией Томской области (далее – Администрация) прогноз социально-экономического развития  Томской области на 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3223F3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3223F3">
        <w:rPr>
          <w:rFonts w:ascii="Times New Roman" w:hAnsi="Times New Roman"/>
          <w:sz w:val="24"/>
          <w:szCs w:val="24"/>
          <w:lang w:eastAsia="ru-RU"/>
        </w:rPr>
        <w:t>-202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3223F3">
        <w:rPr>
          <w:rFonts w:ascii="Times New Roman" w:hAnsi="Times New Roman"/>
          <w:sz w:val="24"/>
          <w:szCs w:val="24"/>
          <w:lang w:eastAsia="ru-RU"/>
        </w:rPr>
        <w:t xml:space="preserve"> годов, структура и содержание законопроекта, приложения к законопроекту, документы и материалы, представленные одновременно с ним, а также проверено наличие и оценено состояние нормативной и методической базы, регулирующей порядок их формирования.</w:t>
      </w:r>
    </w:p>
    <w:p w:rsidR="001E4617" w:rsidRDefault="001E4617" w:rsidP="000545B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 </w:t>
      </w:r>
      <w:r w:rsidRPr="003223F3">
        <w:rPr>
          <w:rFonts w:ascii="Times New Roman" w:hAnsi="Times New Roman"/>
          <w:b/>
          <w:sz w:val="24"/>
          <w:szCs w:val="24"/>
        </w:rPr>
        <w:t>Текстовая часть законопроекта</w:t>
      </w:r>
    </w:p>
    <w:p w:rsidR="001E4617" w:rsidRPr="000545B0" w:rsidRDefault="001E4617" w:rsidP="00E37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>Законопроект содержит 22 статьи, положения которых повторяют положения аналогичных статей Закона Томской области от 29.12.2018 № 151-ОЗ «Об областном бюджете на 2019 год и плановый период 2020 и 2021 годов» (далее – Закон № 151-ОЗ), за исключением статьи 15, установившей на основании пункта 2 статьи 78.1 Бюджетного кодекса РФ случаи предоставления из областного бюджета субсидий некоммерческим организациям, не являющимся государственным</w:t>
      </w:r>
      <w:r>
        <w:rPr>
          <w:rFonts w:ascii="Times New Roman" w:hAnsi="Times New Roman"/>
          <w:sz w:val="24"/>
          <w:szCs w:val="24"/>
        </w:rPr>
        <w:t>и (муниципальными) учреждениями.</w:t>
      </w:r>
    </w:p>
    <w:p w:rsidR="001E4617" w:rsidRPr="000545B0" w:rsidRDefault="001E4617" w:rsidP="00E370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>К тексту представленного законопроекта имеются следующие предложения и замечания.</w:t>
      </w:r>
    </w:p>
    <w:p w:rsidR="001E4617" w:rsidRPr="000545B0" w:rsidRDefault="001E4617" w:rsidP="000545B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 xml:space="preserve">1. </w:t>
      </w:r>
      <w:r w:rsidRPr="000545B0">
        <w:rPr>
          <w:rFonts w:ascii="Times New Roman" w:hAnsi="Times New Roman"/>
          <w:b/>
          <w:sz w:val="24"/>
          <w:szCs w:val="24"/>
        </w:rPr>
        <w:t>Статьей 18</w:t>
      </w:r>
      <w:r w:rsidRPr="000545B0">
        <w:rPr>
          <w:rFonts w:ascii="Times New Roman" w:hAnsi="Times New Roman"/>
          <w:sz w:val="24"/>
          <w:szCs w:val="24"/>
        </w:rPr>
        <w:t xml:space="preserve"> законопроекта устанавливается, что областные государственные бюджетные и автономные учреждения при заключении гражданско-правового договора (государственного контракта), предметом которого являются поставка товара, выполнение работы, оказание услуги, могут предусматривать авансовые платежи в случаях и размере, определенных указанной статьей.</w:t>
      </w:r>
    </w:p>
    <w:p w:rsidR="001E4617" w:rsidRPr="000545B0" w:rsidRDefault="001E4617" w:rsidP="000545B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>Аналогичное положение было установлено ст. 18 Закона № 151-ОЗ, в отношении которого Контрольно-счетной палатой уже высказывались следующие замечания (заключение от 30.10.2018 № 02-664/1).</w:t>
      </w:r>
    </w:p>
    <w:p w:rsidR="001E4617" w:rsidRPr="000545B0" w:rsidRDefault="001E4617" w:rsidP="000545B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>Источник финансирования указанных расходов (средства областного бюджета или внебюджетные источники от приносящей доход деятельности) проектом не установлен.</w:t>
      </w:r>
    </w:p>
    <w:p w:rsidR="001E4617" w:rsidRPr="000545B0" w:rsidRDefault="001E4617" w:rsidP="000545B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>Исходя из положения ст.ст. 1-3 Бюджетного кодекса РФ, закон субъекта РФ о бюджете является одним из актов бюджетного законодательства, регулирующих бюджетные правоотношения. Статьей 184.1 Бюджетного кодекса РФ установлены требования к содержанию закона о бюджете, которые не предполагают регулирования таким законом правоотношений, не связанных с государственными доходами и расходами.</w:t>
      </w:r>
    </w:p>
    <w:p w:rsidR="001E4617" w:rsidRPr="000545B0" w:rsidRDefault="001E4617" w:rsidP="000545B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>Следовательно, вопросы заключения гражданско-правовых договоров (государственных контрактов) областными государственными бюджетными и автономными учреждениями, подлежащих оплате не только за счет средств областного бюджета, регулированию законопроектом не подлежат.</w:t>
      </w:r>
    </w:p>
    <w:p w:rsidR="001E4617" w:rsidRPr="000545B0" w:rsidRDefault="001E4617" w:rsidP="00054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 xml:space="preserve">2. В </w:t>
      </w:r>
      <w:r w:rsidRPr="000545B0">
        <w:rPr>
          <w:rFonts w:ascii="Times New Roman" w:hAnsi="Times New Roman"/>
          <w:b/>
          <w:sz w:val="24"/>
          <w:szCs w:val="24"/>
        </w:rPr>
        <w:t>Приложении 17</w:t>
      </w:r>
      <w:r w:rsidRPr="000545B0">
        <w:rPr>
          <w:rFonts w:ascii="Times New Roman" w:hAnsi="Times New Roman"/>
          <w:sz w:val="24"/>
          <w:szCs w:val="24"/>
        </w:rPr>
        <w:t xml:space="preserve"> к законопроекту:</w:t>
      </w:r>
    </w:p>
    <w:p w:rsidR="001E4617" w:rsidRPr="000545B0" w:rsidRDefault="001E4617" w:rsidP="00054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 xml:space="preserve">1) не предусмотрены средства областного бюджета на государственную поддержку в виде частичной компенсации гражданам-участникам долевого строительства затрат, связанных с наймом (арендой) жилых помещений, установленную в соответствии со статьей 7 Закона </w:t>
      </w:r>
      <w:r w:rsidRPr="000545B0">
        <w:rPr>
          <w:rFonts w:ascii="Times New Roman" w:hAnsi="Times New Roman"/>
          <w:sz w:val="24"/>
          <w:szCs w:val="24"/>
        </w:rPr>
        <w:lastRenderedPageBreak/>
        <w:t>Томской области от 14.04.2011 № 58-ОЗ «О защите прав и законных интересов граждан-участников долевого строительства многоквартирных домов на территории Томской области»;</w:t>
      </w:r>
    </w:p>
    <w:p w:rsidR="001E4617" w:rsidRPr="000545B0" w:rsidRDefault="001E4617" w:rsidP="00054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>2) наименование публичного нормативного обязательства «Разовое денежное поощрение лицам, награжденным орденом «Томская слава» с целью приведения в соответствие с постановлением Губернатора Томской области от 01.04.2013 № 36 «О наградах Губернатора Томской области» следует изложить в следующей редакции: «Разовое денежное вознаграждение лицам, награжденным орденом «Томская слава».</w:t>
      </w:r>
    </w:p>
    <w:p w:rsidR="001E4617" w:rsidRPr="000545B0" w:rsidRDefault="001E4617" w:rsidP="00FA0446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 </w:t>
      </w:r>
      <w:r w:rsidRPr="000545B0">
        <w:rPr>
          <w:rFonts w:ascii="Times New Roman" w:hAnsi="Times New Roman"/>
          <w:b/>
          <w:sz w:val="24"/>
          <w:szCs w:val="24"/>
        </w:rPr>
        <w:t xml:space="preserve">Наличие необходимых материалов и документов, </w:t>
      </w:r>
      <w:r>
        <w:rPr>
          <w:rFonts w:ascii="Times New Roman" w:hAnsi="Times New Roman"/>
          <w:b/>
          <w:sz w:val="24"/>
          <w:szCs w:val="24"/>
        </w:rPr>
        <w:t xml:space="preserve">представляемых </w:t>
      </w:r>
      <w:r w:rsidRPr="000545B0">
        <w:rPr>
          <w:rFonts w:ascii="Times New Roman" w:hAnsi="Times New Roman"/>
          <w:b/>
          <w:sz w:val="24"/>
          <w:szCs w:val="24"/>
        </w:rPr>
        <w:t>одновременно с законопроектом</w:t>
      </w:r>
    </w:p>
    <w:p w:rsidR="001E4617" w:rsidRPr="0036539C" w:rsidRDefault="001E4617" w:rsidP="000545B0">
      <w:pPr>
        <w:widowControl w:val="0"/>
        <w:tabs>
          <w:tab w:val="left" w:pos="993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 xml:space="preserve">1. В ходе проверки наличия документов, представляемых одновременно с проектом бюджета, установлено, что в нарушение ст. 184.2 Бюджетного кодекса РФ, ст. 18 Закона Томской области от 11.10.2007 № 231-ОЗ «О бюджетном процессе в Томской области» </w:t>
      </w:r>
      <w:r w:rsidRPr="0036539C">
        <w:rPr>
          <w:rFonts w:ascii="Times New Roman" w:hAnsi="Times New Roman"/>
          <w:b/>
          <w:sz w:val="24"/>
          <w:szCs w:val="24"/>
        </w:rPr>
        <w:t>не представлены:</w:t>
      </w:r>
    </w:p>
    <w:p w:rsidR="001E4617" w:rsidRPr="000545B0" w:rsidRDefault="001E4617" w:rsidP="000545B0">
      <w:pPr>
        <w:widowControl w:val="0"/>
        <w:tabs>
          <w:tab w:val="left" w:pos="993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>1) методики (проекты методик) и расчеты распределения следующих межбюджетных трансфертов:</w:t>
      </w:r>
    </w:p>
    <w:p w:rsidR="001E4617" w:rsidRPr="000545B0" w:rsidRDefault="001E4617" w:rsidP="000545B0">
      <w:pPr>
        <w:widowControl w:val="0"/>
        <w:tabs>
          <w:tab w:val="left" w:pos="993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>- субсидий местным бюджетам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в рамках ГП «Комплексное развитие сельских территорий Томской области» на 2020 год и на плановый период 2021 года (Таблица 57 Приложения 16);</w:t>
      </w:r>
    </w:p>
    <w:p w:rsidR="001E4617" w:rsidRPr="000545B0" w:rsidRDefault="001E4617" w:rsidP="000545B0">
      <w:pPr>
        <w:widowControl w:val="0"/>
        <w:tabs>
          <w:tab w:val="left" w:pos="993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>- иных межбюджетных трансфертов местным бюджетам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на 2020 год и на плановый период 2021 и 2022 годов (Таблица 70 Приложения 16);</w:t>
      </w:r>
    </w:p>
    <w:p w:rsidR="001E4617" w:rsidRPr="000545B0" w:rsidRDefault="001E4617" w:rsidP="000545B0">
      <w:pPr>
        <w:widowControl w:val="0"/>
        <w:tabs>
          <w:tab w:val="left" w:pos="993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>2) расчеты распределения следующих межбюджетных трансфертов:</w:t>
      </w:r>
    </w:p>
    <w:p w:rsidR="001E4617" w:rsidRPr="000545B0" w:rsidRDefault="001E4617" w:rsidP="000545B0">
      <w:pPr>
        <w:widowControl w:val="0"/>
        <w:tabs>
          <w:tab w:val="left" w:pos="993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>- субсидий местным бюджетам на создание и модернизацию объектов спортивной инфраструктуры для занятий физической культурой и спортом в рамках реализации ГП «Развитие молодежной политики, физической культуры и спорта в Томской области» на 2021 год (Таблица 40 Приложения 16);</w:t>
      </w:r>
    </w:p>
    <w:p w:rsidR="001E4617" w:rsidRPr="000545B0" w:rsidRDefault="001E4617" w:rsidP="000545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>- субсидий из областного бюджета бюджетам муниципальных образований Томской области на создание дополнительных мест во вновь построенных образовательных организациях с использованием механизма государственно-частного партнерства в рамках ГП «Развитие образования в Томской области на» на 2021 год (Таблица 51 Приложения 16);</w:t>
      </w:r>
    </w:p>
    <w:p w:rsidR="001E4617" w:rsidRPr="000545B0" w:rsidRDefault="001E4617" w:rsidP="000545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>- субсидий из областного бюджета бюджетам муниципальных образований Томской области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в рамках реализации ГП «Развитие образования в Томской области» на 2020 год и плановый период 2021 года (Таблица 52 Приложения 16);</w:t>
      </w:r>
    </w:p>
    <w:p w:rsidR="001E4617" w:rsidRPr="000545B0" w:rsidRDefault="001E4617" w:rsidP="000545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>- субсидий из областного бюджета бюджетам муниципальных образований Томской области на создание новых мест в общеобразовательных организациях в рамках реализации ГП «Развитие образования в Томской области» на 2020 год и плановый период 2021 и 2022 годов (Таблица 53 Приложения 16);</w:t>
      </w:r>
    </w:p>
    <w:p w:rsidR="001E4617" w:rsidRPr="000545B0" w:rsidRDefault="001E4617" w:rsidP="000545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>- субсидий из областного бюджета бюджетам муниципальных образований Томской области на создание новых мест в общеобразовательных организациях, расположенных в сельской местности и поселках городского типа в рамках реализации ГП «Развитие образования в Томской области» на 2020 год (Таблица 54 Приложения 16);</w:t>
      </w:r>
    </w:p>
    <w:p w:rsidR="001E4617" w:rsidRPr="000545B0" w:rsidRDefault="001E4617" w:rsidP="000545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>- субсидий из областного бюджета бюджетам муниципальных образований Томской области на осуществление капитальных вложений в объекты муниципальной собственности в сфере газификации в рамках ГП «Развитие коммунальной инфраструктуры в Томской области» на 2020 год (Таблица 55 Приложения 16);</w:t>
      </w:r>
    </w:p>
    <w:p w:rsidR="001E4617" w:rsidRPr="000545B0" w:rsidRDefault="001E4617" w:rsidP="000545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lastRenderedPageBreak/>
        <w:t>- субсидий из областного бюджета бюджетам муниципальных образований Томской области на осуществление капитальных вложений в объекты муниципальной собственности в целях модернизации коммунальной инфраструктуры Томской области в рамках реализации ГП «Развитие коммунальной инфраструктуры в Томской области» на 2020 год и плановый период 2021 и 2022 годов (Таблица 59 Приложения 16);</w:t>
      </w:r>
    </w:p>
    <w:p w:rsidR="001E4617" w:rsidRPr="000545B0" w:rsidRDefault="001E4617" w:rsidP="000545B0">
      <w:pPr>
        <w:widowControl w:val="0"/>
        <w:tabs>
          <w:tab w:val="left" w:pos="993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>- субсидий из областного бюджета бюджетам муниципальных образований Томской области на осуществление капитальных вложений в объекты муниципальной собственности в сфере обращения с твердыми коммунальными отходами в рамках ГП «Обращение с отходами, в том числе с твердыми коммунальными отходами, на территории Томской области» на 2020 год и плановый период 2021 года (Таблица 66 Приложения 16);</w:t>
      </w:r>
    </w:p>
    <w:p w:rsidR="001E4617" w:rsidRPr="000545B0" w:rsidRDefault="001E4617" w:rsidP="000545B0">
      <w:pPr>
        <w:widowControl w:val="0"/>
        <w:autoSpaceDE w:val="0"/>
        <w:autoSpaceDN w:val="0"/>
        <w:adjustRightInd w:val="0"/>
        <w:spacing w:after="1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>- субсидий из областного бюджета бюджетам муниципальных образований Томской области на строительство муниципальных гидротехнических сооружений в рамках ГП «Охрана окружающей среды, воспроизводство и рациональное использование природных ресурсов» на 2021 год (Таблица 69 Приложения 16).</w:t>
      </w:r>
    </w:p>
    <w:p w:rsidR="001E4617" w:rsidRPr="000545B0" w:rsidRDefault="001E4617" w:rsidP="000545B0">
      <w:pPr>
        <w:widowControl w:val="0"/>
        <w:autoSpaceDE w:val="0"/>
        <w:autoSpaceDN w:val="0"/>
        <w:adjustRightInd w:val="0"/>
        <w:spacing w:after="1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>2. На основании нормы абз. 6 п. 3 ст. 139 Бюджетного кодекса РФ статьей 19 законопроекта утвержден перечень субсидий бюджетам муниципальных образований, предоставляемых из областного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(Приложение 21 к законопроекту). В соответствии с п. 4 ст. 139 Бюджетного кодекса РФ распределение указанных субсидий (за исключением субсидий, распределяемых на конкурсной основе) утверждается законом субъекта РФ о бюджете субъекта РФ на очередной финансовый год и плановый период.</w:t>
      </w:r>
    </w:p>
    <w:p w:rsidR="001E4617" w:rsidRPr="000545B0" w:rsidRDefault="001E4617" w:rsidP="000545B0">
      <w:pPr>
        <w:widowControl w:val="0"/>
        <w:autoSpaceDE w:val="0"/>
        <w:autoSpaceDN w:val="0"/>
        <w:adjustRightInd w:val="0"/>
        <w:spacing w:after="1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Однако </w:t>
      </w:r>
      <w:r w:rsidRPr="000545B0">
        <w:rPr>
          <w:rFonts w:ascii="Times New Roman" w:hAnsi="Times New Roman"/>
          <w:sz w:val="24"/>
          <w:szCs w:val="24"/>
        </w:rPr>
        <w:t xml:space="preserve">законопроектом </w:t>
      </w:r>
      <w:r w:rsidRPr="0036539C">
        <w:rPr>
          <w:rFonts w:ascii="Times New Roman" w:hAnsi="Times New Roman"/>
          <w:b/>
          <w:sz w:val="24"/>
          <w:szCs w:val="24"/>
        </w:rPr>
        <w:t>не установлено распределение ряда субсидий</w:t>
      </w:r>
      <w:r w:rsidRPr="000545B0">
        <w:rPr>
          <w:rFonts w:ascii="Times New Roman" w:hAnsi="Times New Roman"/>
          <w:sz w:val="24"/>
          <w:szCs w:val="24"/>
        </w:rPr>
        <w:t xml:space="preserve"> местным бюджетам из числа предусмотренных в Приложении 21 к законопроекту (методики расчета (проекты методик) представлены)</w:t>
      </w:r>
      <w:r>
        <w:rPr>
          <w:rFonts w:ascii="Times New Roman" w:hAnsi="Times New Roman"/>
          <w:sz w:val="24"/>
          <w:szCs w:val="24"/>
        </w:rPr>
        <w:t>, например</w:t>
      </w:r>
      <w:r w:rsidRPr="000545B0">
        <w:rPr>
          <w:rFonts w:ascii="Times New Roman" w:hAnsi="Times New Roman"/>
          <w:sz w:val="24"/>
          <w:szCs w:val="24"/>
        </w:rPr>
        <w:t>:</w:t>
      </w:r>
    </w:p>
    <w:p w:rsidR="001E4617" w:rsidRPr="000545B0" w:rsidRDefault="001E4617" w:rsidP="000545B0">
      <w:pPr>
        <w:widowControl w:val="0"/>
        <w:tabs>
          <w:tab w:val="left" w:pos="993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>- субсидии из областного бюджета бюджетам муниципальных образований Томской области на внедрение и функционирование целевой модели цифровой образовательной среды в общеобразовательных организациях (проект);</w:t>
      </w:r>
    </w:p>
    <w:p w:rsidR="001E4617" w:rsidRPr="000545B0" w:rsidRDefault="001E4617" w:rsidP="000545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>- субсидии из областного бюджета бюджетам муниципальных образований Томской области на 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 (проект);</w:t>
      </w:r>
    </w:p>
    <w:p w:rsidR="001E4617" w:rsidRPr="000545B0" w:rsidRDefault="001E4617" w:rsidP="000545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>- субсидии из областного бюджета бюджетам муниципальных образований Томской области, в том числе отнесенных к монопрофильным, на софинансирование расходов на развитие и обеспечение деятельности микрофинансовых организаций, предусмотренных в муниципальных программах (подпрограммах), содержащих мероприятия, направленные на развитие малого и среднего предпринимательства (проект);</w:t>
      </w:r>
    </w:p>
    <w:p w:rsidR="001E4617" w:rsidRPr="000545B0" w:rsidRDefault="001E4617" w:rsidP="000545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>- субсидии из областного бюджета бюджетам муниципальных образований Томской области на реализацию мероприятий муниципальных программ (подпрограмм), направленных на развитие малого и среднего предпринимательства (проект);</w:t>
      </w:r>
    </w:p>
    <w:p w:rsidR="001E4617" w:rsidRPr="000545B0" w:rsidRDefault="001E4617" w:rsidP="000545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>- субсидии из областного бюджета бюджетам муниципальных образований Томской области на создание, развитие и обеспечение деятельности муниципальных бизнес-инкубаторов, предусмотренных в муниципальных программах (подпрограммах), содержащих мероприятия, направленные на развитие малого и среднего предпринимательства (проект);</w:t>
      </w:r>
    </w:p>
    <w:p w:rsidR="001E4617" w:rsidRPr="000545B0" w:rsidRDefault="001E4617" w:rsidP="000545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>- субсидии местным бюджетам Томской области на капитальный ремонт и (или) ремонт автомобильных дорог общего пользования местного значения (проект);</w:t>
      </w:r>
    </w:p>
    <w:p w:rsidR="001E4617" w:rsidRPr="000545B0" w:rsidRDefault="001E4617" w:rsidP="000545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>- субсидии местным бюджетам Томской области на финансовое обеспечение дорожной деятельности в рамках реализации регионального проекта «Дорожная сеть» национального проекта «Безопасные и качественные автомобильные дороги» (проект);</w:t>
      </w:r>
    </w:p>
    <w:p w:rsidR="001E4617" w:rsidRPr="000545B0" w:rsidRDefault="001E4617" w:rsidP="000545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>- субсидии местным бюджетам Томской области на обеспечение жителей отдаленных населенных пунктов Томской области услугами связи</w:t>
      </w:r>
      <w:r>
        <w:rPr>
          <w:rFonts w:ascii="Times New Roman" w:hAnsi="Times New Roman"/>
          <w:sz w:val="24"/>
          <w:szCs w:val="24"/>
        </w:rPr>
        <w:t xml:space="preserve"> (проект).</w:t>
      </w:r>
    </w:p>
    <w:p w:rsidR="001E4617" w:rsidRPr="000545B0" w:rsidRDefault="001E4617" w:rsidP="000545B0">
      <w:pPr>
        <w:widowControl w:val="0"/>
        <w:tabs>
          <w:tab w:val="left" w:pos="993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 xml:space="preserve">Расчеты распределения вышеназванных субсидий в составе материалов к законопроекту </w:t>
      </w:r>
      <w:r w:rsidRPr="000545B0">
        <w:rPr>
          <w:rFonts w:ascii="Times New Roman" w:hAnsi="Times New Roman"/>
          <w:sz w:val="24"/>
          <w:szCs w:val="24"/>
        </w:rPr>
        <w:lastRenderedPageBreak/>
        <w:t>также не представлены.</w:t>
      </w:r>
    </w:p>
    <w:p w:rsidR="001E4617" w:rsidRPr="000545B0" w:rsidRDefault="001E4617" w:rsidP="000545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5B0">
        <w:rPr>
          <w:rFonts w:ascii="Times New Roman" w:hAnsi="Times New Roman"/>
          <w:sz w:val="24"/>
          <w:szCs w:val="24"/>
        </w:rPr>
        <w:t>3. С законопроектом представлена методика расчета иных межбюджетных трансфертов на организацию системы выявления, сопровождения одаренных детей (постановление Администрации Томской области от 06.09.2013 № 367а), распределение которых законопроектом также не предусмотрено.</w:t>
      </w:r>
    </w:p>
    <w:p w:rsidR="001E4617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E4617" w:rsidRPr="002639E4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39E4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Pr="002639E4">
        <w:rPr>
          <w:rFonts w:ascii="Times New Roman" w:hAnsi="Times New Roman"/>
          <w:b/>
          <w:sz w:val="24"/>
          <w:szCs w:val="24"/>
        </w:rPr>
        <w:t>Анализ увязки основных параметров документов стратегического планирования Томской области и основных направлений бюджетной и налоговой политики на 2020-2022 годы, составляющих основу формирования законопроекта о бюджете</w:t>
      </w:r>
    </w:p>
    <w:p w:rsidR="001E4617" w:rsidRPr="00FC4774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E4617" w:rsidRPr="00D801F0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1F0">
        <w:rPr>
          <w:rFonts w:ascii="Times New Roman" w:hAnsi="Times New Roman"/>
          <w:sz w:val="24"/>
          <w:szCs w:val="24"/>
        </w:rPr>
        <w:t>Прогноз социально-экономического развития Томской области на 2020</w:t>
      </w:r>
      <w:r>
        <w:rPr>
          <w:rFonts w:ascii="Times New Roman" w:hAnsi="Times New Roman"/>
          <w:sz w:val="24"/>
          <w:szCs w:val="24"/>
        </w:rPr>
        <w:t xml:space="preserve"> год и плановый период </w:t>
      </w:r>
      <w:r w:rsidRPr="00D801F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21-20</w:t>
      </w:r>
      <w:r w:rsidRPr="00D801F0">
        <w:rPr>
          <w:rFonts w:ascii="Times New Roman" w:hAnsi="Times New Roman"/>
          <w:sz w:val="24"/>
          <w:szCs w:val="24"/>
        </w:rPr>
        <w:t>22 год</w:t>
      </w:r>
      <w:r>
        <w:rPr>
          <w:rFonts w:ascii="Times New Roman" w:hAnsi="Times New Roman"/>
          <w:sz w:val="24"/>
          <w:szCs w:val="24"/>
        </w:rPr>
        <w:t>ов</w:t>
      </w:r>
      <w:r w:rsidRPr="00D801F0">
        <w:rPr>
          <w:rFonts w:ascii="Times New Roman" w:hAnsi="Times New Roman"/>
          <w:sz w:val="24"/>
          <w:szCs w:val="24"/>
        </w:rPr>
        <w:t xml:space="preserve"> (далее - Прогноз) сформирован по основным макроэкономическим показателям социально-экономического развития Томской области на основе трех сценариев: консервативного (вариант 1), базового (вариант 2) и целевого (вариант 3). </w:t>
      </w:r>
    </w:p>
    <w:p w:rsidR="001E4617" w:rsidRPr="0034523B" w:rsidRDefault="001E4617" w:rsidP="00ED5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A23">
        <w:rPr>
          <w:rFonts w:ascii="Times New Roman" w:hAnsi="Times New Roman"/>
          <w:sz w:val="24"/>
          <w:szCs w:val="24"/>
        </w:rPr>
        <w:t>Для разработки параметров областного бюджета на 2020-2022 годы использован базовый вариант Прогноза. При подготовке показателей Прогноза принята во внимание макроэкономическая ситуация российской экономики</w:t>
      </w:r>
      <w:r w:rsidRPr="000657A3">
        <w:rPr>
          <w:rFonts w:ascii="Times New Roman" w:hAnsi="Times New Roman"/>
          <w:i/>
          <w:sz w:val="24"/>
          <w:szCs w:val="24"/>
        </w:rPr>
        <w:t xml:space="preserve">, </w:t>
      </w:r>
      <w:r w:rsidRPr="0034523B">
        <w:rPr>
          <w:rFonts w:ascii="Times New Roman" w:hAnsi="Times New Roman"/>
          <w:sz w:val="24"/>
          <w:szCs w:val="24"/>
        </w:rPr>
        <w:t>на которую значительное влияние оказывают</w:t>
      </w:r>
      <w:r>
        <w:rPr>
          <w:rFonts w:ascii="Times New Roman" w:hAnsi="Times New Roman"/>
          <w:sz w:val="24"/>
          <w:szCs w:val="24"/>
        </w:rPr>
        <w:t>:</w:t>
      </w:r>
      <w:r w:rsidRPr="0034523B">
        <w:rPr>
          <w:rFonts w:ascii="Times New Roman" w:hAnsi="Times New Roman"/>
          <w:sz w:val="24"/>
          <w:szCs w:val="24"/>
        </w:rPr>
        <w:t xml:space="preserve"> неблагоприятные условия мировой</w:t>
      </w:r>
      <w:r>
        <w:rPr>
          <w:rFonts w:ascii="Times New Roman" w:hAnsi="Times New Roman"/>
          <w:sz w:val="24"/>
          <w:szCs w:val="24"/>
        </w:rPr>
        <w:t xml:space="preserve"> торговли, в том числе связанные</w:t>
      </w:r>
      <w:r w:rsidRPr="0034523B">
        <w:rPr>
          <w:rFonts w:ascii="Times New Roman" w:hAnsi="Times New Roman"/>
          <w:sz w:val="24"/>
          <w:szCs w:val="24"/>
        </w:rPr>
        <w:t xml:space="preserve"> с усложнением геополитической обстановки, санкции и ожидание их </w:t>
      </w:r>
      <w:r>
        <w:rPr>
          <w:rFonts w:ascii="Times New Roman" w:hAnsi="Times New Roman"/>
          <w:sz w:val="24"/>
          <w:szCs w:val="24"/>
        </w:rPr>
        <w:t xml:space="preserve">расширения, а также </w:t>
      </w:r>
      <w:r w:rsidRPr="0034523B">
        <w:rPr>
          <w:rFonts w:ascii="Times New Roman" w:hAnsi="Times New Roman"/>
          <w:sz w:val="24"/>
          <w:szCs w:val="24"/>
        </w:rPr>
        <w:t>жест</w:t>
      </w:r>
      <w:r>
        <w:rPr>
          <w:rFonts w:ascii="Times New Roman" w:hAnsi="Times New Roman"/>
          <w:sz w:val="24"/>
          <w:szCs w:val="24"/>
        </w:rPr>
        <w:t>кая денежно-кредитная политика.</w:t>
      </w:r>
    </w:p>
    <w:p w:rsidR="001E4617" w:rsidRPr="00611F82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F82">
        <w:rPr>
          <w:rFonts w:ascii="Times New Roman" w:hAnsi="Times New Roman"/>
          <w:sz w:val="24"/>
          <w:szCs w:val="24"/>
        </w:rPr>
        <w:t xml:space="preserve">Согласно материалам к проекту бюджета базовый вариант предполагает продолжение преобразований экономики региона, направленных на </w:t>
      </w:r>
      <w:r w:rsidRPr="009835D0">
        <w:rPr>
          <w:rFonts w:ascii="Times New Roman" w:hAnsi="Times New Roman"/>
          <w:sz w:val="24"/>
          <w:szCs w:val="24"/>
        </w:rPr>
        <w:t>улучшение инвестиционного климата, развитие конкуренции, повышение качества и эффективности корпоративного и государственного управления и характеризуется дополнительными импульсами инновационного развития, усилением инвестиционной направленности экономического роста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11F82">
        <w:rPr>
          <w:rFonts w:ascii="Times New Roman" w:hAnsi="Times New Roman"/>
          <w:sz w:val="24"/>
          <w:szCs w:val="24"/>
        </w:rPr>
        <w:t>развития сектора высокотехнологичных производств и экономики знаний</w:t>
      </w:r>
      <w:r w:rsidRPr="009835D0">
        <w:rPr>
          <w:rFonts w:ascii="Times New Roman" w:hAnsi="Times New Roman"/>
          <w:sz w:val="24"/>
          <w:szCs w:val="24"/>
        </w:rPr>
        <w:t>.</w:t>
      </w:r>
    </w:p>
    <w:p w:rsidR="001E4617" w:rsidRPr="00D45738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738">
        <w:rPr>
          <w:rFonts w:ascii="Times New Roman" w:hAnsi="Times New Roman"/>
          <w:sz w:val="24"/>
          <w:szCs w:val="24"/>
        </w:rPr>
        <w:t xml:space="preserve">Прогноз на 2020-2022 годы сформирован в соответствии с требованиями к его содержанию, установленными пунктом 8 Порядка разработки прогноза социально-экономического развития Томской области на среднесрочный период, утвержденного постановлением Администрации Томской области 05.05.2016 № 155а (далее - Порядок № 155а) и пунктом 4 статьи 173 Бюджетного кодекса РФ. </w:t>
      </w:r>
    </w:p>
    <w:p w:rsidR="001E4617" w:rsidRPr="00B823EA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EC7">
        <w:rPr>
          <w:rFonts w:ascii="Times New Roman" w:hAnsi="Times New Roman"/>
          <w:sz w:val="24"/>
          <w:szCs w:val="24"/>
        </w:rPr>
        <w:t>В пояснительной записке к Прогнозу представлено описание комплекса необходимых мер для достижения прогнозируемых значений показателей в разрезе видов экономической деятельности и проведено сравнение прогнозных значений базового варианта Стратегии социально-экономического развития Томской области до 2030 года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823EA">
        <w:rPr>
          <w:rFonts w:ascii="Times New Roman" w:hAnsi="Times New Roman"/>
          <w:sz w:val="24"/>
          <w:szCs w:val="24"/>
        </w:rPr>
        <w:t>с прогнозными значениями 2018 и 2019 годов и на основании полученных результатов произведена корректировка прогнозных показателей на среднесрочный период (том I прил. 5).</w:t>
      </w:r>
    </w:p>
    <w:p w:rsidR="001E4617" w:rsidRPr="005F4756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756">
        <w:rPr>
          <w:rFonts w:ascii="Times New Roman" w:hAnsi="Times New Roman"/>
          <w:sz w:val="24"/>
          <w:szCs w:val="24"/>
        </w:rPr>
        <w:t>При подготовке заключения осуществлена оценка основных параметров, используемых при составлении проекта бюджета, с показателями Стратегии.</w:t>
      </w:r>
    </w:p>
    <w:p w:rsidR="001E4617" w:rsidRPr="005F4756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756">
        <w:rPr>
          <w:rFonts w:ascii="Times New Roman" w:hAnsi="Times New Roman"/>
          <w:sz w:val="24"/>
          <w:szCs w:val="24"/>
        </w:rPr>
        <w:t xml:space="preserve">Необходимо отметить, что с 2016 года ежегодно в заключениях Контрольно-счетной палаты на проекты законов Томской области «Об областном бюджете…» было акцентировано внимание на необходимость корректировки Стратегии, которая </w:t>
      </w:r>
      <w:r w:rsidRPr="005F4756">
        <w:rPr>
          <w:rFonts w:ascii="Times New Roman" w:hAnsi="Times New Roman"/>
          <w:sz w:val="24"/>
          <w:szCs w:val="24"/>
          <w:u w:val="single"/>
        </w:rPr>
        <w:t>содержит внутренние разночтения и противоречия в показателях</w:t>
      </w:r>
      <w:r w:rsidRPr="005F4756">
        <w:rPr>
          <w:rFonts w:ascii="Times New Roman" w:hAnsi="Times New Roman"/>
          <w:sz w:val="24"/>
          <w:szCs w:val="24"/>
        </w:rPr>
        <w:t>, например:</w:t>
      </w:r>
    </w:p>
    <w:p w:rsidR="001E4617" w:rsidRPr="00F05AB2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5AB2">
        <w:rPr>
          <w:rFonts w:ascii="Times New Roman" w:hAnsi="Times New Roman"/>
          <w:sz w:val="24"/>
          <w:szCs w:val="24"/>
        </w:rPr>
        <w:t>- прогнозные значения десяти социально-экономических показателей развития Томской области по трем сценариям (консервативный, базовый, оптимистический) за 2015-2020 годы, а также на 2020, 2025 и 2030 годы к уровню 2013 года (раздел VI Стратегии) отражены без указания значений этих показателей по 2013 году;</w:t>
      </w:r>
    </w:p>
    <w:p w:rsidR="001E4617" w:rsidRPr="00C0566D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566D">
        <w:rPr>
          <w:rFonts w:ascii="Times New Roman" w:hAnsi="Times New Roman"/>
          <w:sz w:val="24"/>
          <w:szCs w:val="24"/>
        </w:rPr>
        <w:t>- показатели социально-экономического развития в разрезе пяти стратегических целей и задач социально-экономического развития Томской области (раздел IV Стратегии) отражены применительно только к 2020 и 2030 годам в сравнении с 2013 годом;</w:t>
      </w:r>
    </w:p>
    <w:p w:rsidR="001E4617" w:rsidRPr="000040FE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40FE">
        <w:rPr>
          <w:rFonts w:ascii="Times New Roman" w:hAnsi="Times New Roman"/>
          <w:sz w:val="24"/>
          <w:szCs w:val="24"/>
        </w:rPr>
        <w:t xml:space="preserve">- значения двенадцати целевых показателей социально-экономического развития муниципальных образований Томской области (таблицы 3-9 приложения 1 к Стратегии) приведены в привязке к пяти истекшим годам, 2020, 2025 и 2030 годам, зафиксировав </w:t>
      </w:r>
      <w:r w:rsidRPr="000040FE">
        <w:rPr>
          <w:rFonts w:ascii="Times New Roman" w:hAnsi="Times New Roman"/>
          <w:sz w:val="24"/>
          <w:szCs w:val="24"/>
        </w:rPr>
        <w:lastRenderedPageBreak/>
        <w:t xml:space="preserve">сложившуюся ситуацию и обозначив только лишь </w:t>
      </w:r>
      <w:r>
        <w:rPr>
          <w:rFonts w:ascii="Times New Roman" w:hAnsi="Times New Roman"/>
          <w:sz w:val="24"/>
          <w:szCs w:val="24"/>
        </w:rPr>
        <w:t xml:space="preserve">показатели на 2020 год и </w:t>
      </w:r>
      <w:r w:rsidRPr="000040FE">
        <w:rPr>
          <w:rFonts w:ascii="Times New Roman" w:hAnsi="Times New Roman"/>
          <w:sz w:val="24"/>
          <w:szCs w:val="24"/>
        </w:rPr>
        <w:t>долгосрочные ориентиры без увязки их со среднесрочным прогнозированием.</w:t>
      </w:r>
    </w:p>
    <w:p w:rsidR="001E4617" w:rsidRPr="00AB42C8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B42C8">
        <w:rPr>
          <w:rFonts w:ascii="Times New Roman" w:hAnsi="Times New Roman"/>
          <w:sz w:val="24"/>
          <w:szCs w:val="24"/>
          <w:u w:val="single"/>
        </w:rPr>
        <w:t xml:space="preserve">Данные замечания не были приняты во внимание. </w:t>
      </w:r>
    </w:p>
    <w:p w:rsidR="001E4617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302D">
        <w:rPr>
          <w:rFonts w:ascii="Times New Roman" w:hAnsi="Times New Roman"/>
          <w:sz w:val="24"/>
          <w:szCs w:val="24"/>
        </w:rPr>
        <w:t>Сравнительный анализ показателей Прогноза показал основные отклонения их от значений показателей Стратегии в 2020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Pr="000B3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0B302D">
        <w:rPr>
          <w:rFonts w:ascii="Times New Roman" w:hAnsi="Times New Roman"/>
          <w:sz w:val="24"/>
          <w:szCs w:val="24"/>
        </w:rPr>
        <w:t>в плановом периоде 2021-2022 годов</w:t>
      </w:r>
      <w:r>
        <w:rPr>
          <w:rFonts w:ascii="Times New Roman" w:hAnsi="Times New Roman"/>
          <w:sz w:val="24"/>
          <w:szCs w:val="24"/>
        </w:rPr>
        <w:t xml:space="preserve"> показатели Стратегии отсутствуют)</w:t>
      </w:r>
      <w:r w:rsidRPr="000B302D">
        <w:rPr>
          <w:rFonts w:ascii="Times New Roman" w:hAnsi="Times New Roman"/>
          <w:sz w:val="24"/>
          <w:szCs w:val="24"/>
        </w:rPr>
        <w:t>:</w:t>
      </w:r>
    </w:p>
    <w:p w:rsidR="001E4617" w:rsidRPr="000B302D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20" w:type="dxa"/>
        <w:jc w:val="center"/>
        <w:tblLook w:val="00A0" w:firstRow="1" w:lastRow="0" w:firstColumn="1" w:lastColumn="0" w:noHBand="0" w:noVBand="0"/>
      </w:tblPr>
      <w:tblGrid>
        <w:gridCol w:w="1899"/>
        <w:gridCol w:w="1233"/>
        <w:gridCol w:w="1234"/>
        <w:gridCol w:w="1234"/>
        <w:gridCol w:w="1240"/>
        <w:gridCol w:w="1240"/>
        <w:gridCol w:w="1240"/>
      </w:tblGrid>
      <w:tr w:rsidR="001E4617" w:rsidRPr="00606949" w:rsidTr="003E1377">
        <w:trPr>
          <w:trHeight w:val="300"/>
          <w:jc w:val="center"/>
        </w:trPr>
        <w:tc>
          <w:tcPr>
            <w:tcW w:w="9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EA5C98" w:rsidRDefault="001E4617" w:rsidP="0088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5C98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</w:t>
            </w:r>
          </w:p>
        </w:tc>
      </w:tr>
      <w:tr w:rsidR="001E4617" w:rsidRPr="00606949" w:rsidTr="00AB42C8">
        <w:trPr>
          <w:trHeight w:val="499"/>
          <w:jc w:val="center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17" w:rsidRPr="00EA5C98" w:rsidRDefault="001E4617" w:rsidP="0088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98">
              <w:rPr>
                <w:rFonts w:ascii="Times New Roman" w:hAnsi="Times New Roman"/>
                <w:sz w:val="20"/>
                <w:szCs w:val="20"/>
              </w:rPr>
              <w:t>наименование сценария развития Томской области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1E4617" w:rsidRDefault="001E4617" w:rsidP="0088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42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Стратегии развития </w:t>
            </w:r>
          </w:p>
          <w:p w:rsidR="001E4617" w:rsidRPr="00AB42C8" w:rsidRDefault="001E4617" w:rsidP="0088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42C8">
              <w:rPr>
                <w:rFonts w:ascii="Times New Roman" w:hAnsi="Times New Roman"/>
                <w:b/>
                <w:bCs/>
                <w:sz w:val="20"/>
                <w:szCs w:val="20"/>
              </w:rPr>
              <w:t>Томской области до 2030 года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1E4617" w:rsidRDefault="001E4617" w:rsidP="0088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42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Прогноза </w:t>
            </w:r>
          </w:p>
          <w:p w:rsidR="001E4617" w:rsidRPr="00AB42C8" w:rsidRDefault="001E4617" w:rsidP="0088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42C8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социально-экономического развития ТО</w:t>
            </w:r>
          </w:p>
        </w:tc>
      </w:tr>
      <w:tr w:rsidR="001E4617" w:rsidRPr="00606949" w:rsidTr="003E1377">
        <w:trPr>
          <w:trHeight w:val="405"/>
          <w:jc w:val="center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88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EA5C98" w:rsidRDefault="001E4617" w:rsidP="00ED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98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EA5C98" w:rsidRDefault="001E4617" w:rsidP="00ED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C98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EA5C98" w:rsidRDefault="001E4617" w:rsidP="00ED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C98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617" w:rsidRPr="00EA5C98" w:rsidRDefault="001E4617" w:rsidP="0088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C98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617" w:rsidRPr="00EA5C98" w:rsidRDefault="001E4617" w:rsidP="00CA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C98">
              <w:rPr>
                <w:rFonts w:ascii="Times New Roman" w:hAnsi="Times New Roman"/>
                <w:sz w:val="20"/>
                <w:szCs w:val="20"/>
              </w:rPr>
              <w:t>20</w:t>
            </w:r>
            <w:r w:rsidRPr="00EA5C9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EA5C98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617" w:rsidRPr="00EA5C98" w:rsidRDefault="001E4617" w:rsidP="0088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C98">
              <w:rPr>
                <w:rFonts w:ascii="Times New Roman" w:hAnsi="Times New Roman"/>
                <w:sz w:val="20"/>
                <w:szCs w:val="20"/>
              </w:rPr>
              <w:t>202</w:t>
            </w:r>
            <w:r w:rsidRPr="00EA5C9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EA5C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E4617" w:rsidRPr="00606949" w:rsidTr="003E1377">
        <w:trPr>
          <w:trHeight w:val="143"/>
          <w:jc w:val="center"/>
        </w:trPr>
        <w:tc>
          <w:tcPr>
            <w:tcW w:w="9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17" w:rsidRPr="000657A3" w:rsidRDefault="001E4617" w:rsidP="0088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Прирост численности населения Томской области, %*</w:t>
            </w:r>
          </w:p>
        </w:tc>
      </w:tr>
      <w:tr w:rsidR="001E4617" w:rsidRPr="00606949" w:rsidTr="003E1377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консервативный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CA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870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E5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1E4617" w:rsidRPr="00606949" w:rsidTr="003E1377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базовый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E5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E5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</w:tr>
      <w:tr w:rsidR="001E4617" w:rsidRPr="00606949" w:rsidTr="003E1377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оптимистичный (целевой)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87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E5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E5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2B3C5D">
              <w:rPr>
                <w:rFonts w:ascii="Times New Roman" w:hAnsi="Times New Roman"/>
                <w:i/>
                <w:sz w:val="20"/>
                <w:szCs w:val="20"/>
              </w:rPr>
              <w:t>0,2</w:t>
            </w:r>
          </w:p>
        </w:tc>
      </w:tr>
      <w:tr w:rsidR="001E4617" w:rsidRPr="00606949" w:rsidTr="003E1377">
        <w:trPr>
          <w:trHeight w:val="203"/>
          <w:jc w:val="center"/>
        </w:trPr>
        <w:tc>
          <w:tcPr>
            <w:tcW w:w="9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17" w:rsidRPr="000657A3" w:rsidRDefault="001E4617" w:rsidP="0088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Темп прироста ВРП в сопоставимых ценах, % к предыдущему году*</w:t>
            </w:r>
          </w:p>
        </w:tc>
      </w:tr>
      <w:tr w:rsidR="001E4617" w:rsidRPr="00606949" w:rsidTr="003E1377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консервативный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2B3C5D" w:rsidRDefault="001E4617" w:rsidP="002B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617" w:rsidRPr="002B3C5D" w:rsidRDefault="001E4617" w:rsidP="002B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0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617" w:rsidRPr="002B3C5D" w:rsidRDefault="001E4617" w:rsidP="002B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0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5</w:t>
            </w:r>
          </w:p>
        </w:tc>
      </w:tr>
      <w:tr w:rsidR="001E4617" w:rsidRPr="00606949" w:rsidTr="003E1377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базовый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E4617" w:rsidRPr="002B3C5D" w:rsidRDefault="001E4617" w:rsidP="002B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0</w:t>
            </w: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E4617" w:rsidRPr="002B3C5D" w:rsidRDefault="001E4617" w:rsidP="002B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0</w:t>
            </w: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,3</w:t>
            </w:r>
          </w:p>
        </w:tc>
      </w:tr>
      <w:tr w:rsidR="001E4617" w:rsidRPr="00606949" w:rsidTr="003E1377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оптимистичный (целевой)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617" w:rsidRPr="002B3C5D" w:rsidRDefault="001E4617" w:rsidP="002B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617" w:rsidRPr="002B3C5D" w:rsidRDefault="001E4617" w:rsidP="002B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0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0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,4</w:t>
            </w:r>
          </w:p>
        </w:tc>
      </w:tr>
      <w:tr w:rsidR="001E4617" w:rsidRPr="00606949" w:rsidTr="003E1377">
        <w:trPr>
          <w:trHeight w:val="315"/>
          <w:jc w:val="center"/>
        </w:trPr>
        <w:tc>
          <w:tcPr>
            <w:tcW w:w="93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88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Темп снижения энергоемкости валового регионального продукта, %</w:t>
            </w:r>
          </w:p>
        </w:tc>
      </w:tr>
      <w:tr w:rsidR="001E4617" w:rsidRPr="00606949" w:rsidTr="003E1377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консервативный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617" w:rsidRPr="002B3C5D" w:rsidRDefault="001E4617" w:rsidP="002B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-1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617" w:rsidRPr="000657A3" w:rsidRDefault="001E4617" w:rsidP="002B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617" w:rsidRPr="002B3C5D" w:rsidRDefault="001E4617" w:rsidP="002B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0</w:t>
            </w:r>
          </w:p>
        </w:tc>
      </w:tr>
      <w:tr w:rsidR="001E4617" w:rsidRPr="00606949" w:rsidTr="003E1377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базовый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-1,0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E4617" w:rsidRPr="000657A3" w:rsidRDefault="001E4617" w:rsidP="002B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-2</w:t>
            </w: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E4617" w:rsidRPr="000657A3" w:rsidRDefault="001E4617" w:rsidP="002B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3</w:t>
            </w: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E4617" w:rsidRPr="002B3C5D" w:rsidRDefault="001E4617" w:rsidP="002B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3</w:t>
            </w: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3</w:t>
            </w:r>
          </w:p>
        </w:tc>
      </w:tr>
      <w:tr w:rsidR="001E4617" w:rsidRPr="00606949" w:rsidTr="003E1377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оптимистичный (целевой)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617" w:rsidRPr="002B3C5D" w:rsidRDefault="001E4617" w:rsidP="002B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2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617" w:rsidRPr="002B3C5D" w:rsidRDefault="001E4617" w:rsidP="002B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3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617" w:rsidRPr="002B3C5D" w:rsidRDefault="001E4617" w:rsidP="002B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3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6</w:t>
            </w:r>
          </w:p>
        </w:tc>
      </w:tr>
      <w:tr w:rsidR="001E4617" w:rsidRPr="00606949" w:rsidTr="003E1377">
        <w:trPr>
          <w:trHeight w:val="315"/>
          <w:jc w:val="center"/>
        </w:trPr>
        <w:tc>
          <w:tcPr>
            <w:tcW w:w="93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88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Индекс производства по виду экономической деятельности «Обрабатывающие производства», %</w:t>
            </w:r>
          </w:p>
        </w:tc>
      </w:tr>
      <w:tr w:rsidR="001E4617" w:rsidRPr="00606949" w:rsidTr="003E1377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консервативный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617" w:rsidRPr="006852D1" w:rsidRDefault="001E4617" w:rsidP="0068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617" w:rsidRPr="006852D1" w:rsidRDefault="001E4617" w:rsidP="0068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3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617" w:rsidRPr="006852D1" w:rsidRDefault="001E4617" w:rsidP="0068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2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6</w:t>
            </w:r>
          </w:p>
        </w:tc>
      </w:tr>
      <w:tr w:rsidR="001E4617" w:rsidRPr="00606949" w:rsidTr="003E1377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базовый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E4617" w:rsidRPr="006852D1" w:rsidRDefault="001E4617" w:rsidP="0068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102,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E4617" w:rsidRPr="006852D1" w:rsidRDefault="001E4617" w:rsidP="0068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>5</w:t>
            </w:r>
            <w:r w:rsidRPr="000657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E4617" w:rsidRPr="006852D1" w:rsidRDefault="001E4617" w:rsidP="0068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103,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1E4617" w:rsidRPr="00606949" w:rsidTr="003E1377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оптимистичный (целевой)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617" w:rsidRPr="006852D1" w:rsidRDefault="001E4617" w:rsidP="0068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2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617" w:rsidRPr="000657A3" w:rsidRDefault="001E4617" w:rsidP="0068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  <w:r w:rsidRPr="006852D1">
              <w:rPr>
                <w:rFonts w:ascii="Times New Roman" w:hAnsi="Times New Roman"/>
                <w:i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617" w:rsidRPr="006852D1" w:rsidRDefault="001E4617" w:rsidP="0068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3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9</w:t>
            </w:r>
          </w:p>
        </w:tc>
      </w:tr>
      <w:tr w:rsidR="001E4617" w:rsidRPr="00606949" w:rsidTr="003E1377">
        <w:trPr>
          <w:trHeight w:val="315"/>
          <w:jc w:val="center"/>
        </w:trPr>
        <w:tc>
          <w:tcPr>
            <w:tcW w:w="93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88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Индекс производства по виду экономической деятельности «Добыча полезных ископаемых», %</w:t>
            </w:r>
          </w:p>
        </w:tc>
      </w:tr>
      <w:tr w:rsidR="001E4617" w:rsidRPr="00606949" w:rsidTr="003E1377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консервативный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617" w:rsidRPr="008535F3" w:rsidRDefault="001E4617" w:rsidP="00853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9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617" w:rsidRPr="008535F3" w:rsidRDefault="001E4617" w:rsidP="00853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9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617" w:rsidRPr="008535F3" w:rsidRDefault="001E4617" w:rsidP="00853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9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6</w:t>
            </w:r>
          </w:p>
        </w:tc>
      </w:tr>
      <w:tr w:rsidR="001E4617" w:rsidRPr="00606949" w:rsidTr="003E1377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базовый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E4617" w:rsidRPr="008535F3" w:rsidRDefault="001E4617" w:rsidP="00853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99,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99,9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E4617" w:rsidRPr="008535F3" w:rsidRDefault="001E4617" w:rsidP="00853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100</w:t>
            </w: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2</w:t>
            </w:r>
          </w:p>
        </w:tc>
      </w:tr>
      <w:tr w:rsidR="001E4617" w:rsidRPr="00606949" w:rsidTr="003E1377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оптимистичный (целевой)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617" w:rsidRPr="008535F3" w:rsidRDefault="001E4617" w:rsidP="00853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99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617" w:rsidRPr="008535F3" w:rsidRDefault="001E4617" w:rsidP="00853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100,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617" w:rsidRPr="008535F3" w:rsidRDefault="001E4617" w:rsidP="00853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100,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3</w:t>
            </w:r>
          </w:p>
        </w:tc>
      </w:tr>
      <w:tr w:rsidR="001E4617" w:rsidRPr="00606949" w:rsidTr="003E1377">
        <w:trPr>
          <w:trHeight w:val="315"/>
          <w:jc w:val="center"/>
        </w:trPr>
        <w:tc>
          <w:tcPr>
            <w:tcW w:w="93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88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Индекс производства продукции сельского хозяйства, %</w:t>
            </w:r>
          </w:p>
        </w:tc>
      </w:tr>
      <w:tr w:rsidR="001E4617" w:rsidRPr="00606949" w:rsidTr="003E1377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консервативный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617" w:rsidRPr="00621DF2" w:rsidRDefault="001E4617" w:rsidP="00621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0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617" w:rsidRPr="00621DF2" w:rsidRDefault="001E4617" w:rsidP="00621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100,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8</w:t>
            </w:r>
          </w:p>
        </w:tc>
      </w:tr>
      <w:tr w:rsidR="001E4617" w:rsidRPr="00606949" w:rsidTr="003E1377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базовый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E4617" w:rsidRPr="00621DF2" w:rsidRDefault="001E4617" w:rsidP="00621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101,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E4617" w:rsidRPr="00621DF2" w:rsidRDefault="001E4617" w:rsidP="00621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1</w:t>
            </w: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1E4617" w:rsidRPr="00621DF2" w:rsidRDefault="001E4617" w:rsidP="00621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1</w:t>
            </w: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4</w:t>
            </w:r>
          </w:p>
        </w:tc>
      </w:tr>
      <w:tr w:rsidR="001E4617" w:rsidRPr="00606949" w:rsidTr="003E1377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оптимистичный (целевой)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617" w:rsidRPr="00621DF2" w:rsidRDefault="001E4617" w:rsidP="00621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617" w:rsidRPr="00621DF2" w:rsidRDefault="001E4617" w:rsidP="00621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617" w:rsidRPr="00621DF2" w:rsidRDefault="001E4617" w:rsidP="00621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7</w:t>
            </w:r>
          </w:p>
        </w:tc>
      </w:tr>
      <w:tr w:rsidR="001E4617" w:rsidRPr="00606949" w:rsidTr="003E1377">
        <w:trPr>
          <w:trHeight w:val="264"/>
          <w:jc w:val="center"/>
        </w:trPr>
        <w:tc>
          <w:tcPr>
            <w:tcW w:w="9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17" w:rsidRPr="000657A3" w:rsidRDefault="001E4617" w:rsidP="0088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Доля инвестиций в основной капитал в валовом региональном продукте, %*</w:t>
            </w:r>
          </w:p>
        </w:tc>
      </w:tr>
      <w:tr w:rsidR="001E4617" w:rsidRPr="00606949" w:rsidTr="003E1377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консервативный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874172" w:rsidRDefault="001E4617" w:rsidP="008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7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981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7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16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0657A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6</w:t>
            </w:r>
          </w:p>
        </w:tc>
      </w:tr>
      <w:tr w:rsidR="001E4617" w:rsidRPr="00606949" w:rsidTr="003E1377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базовый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874172" w:rsidRDefault="001E4617" w:rsidP="008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17,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981B75" w:rsidRDefault="001E4617" w:rsidP="00981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17,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981B75" w:rsidRDefault="001E4617" w:rsidP="00981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6</w:t>
            </w: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6</w:t>
            </w:r>
          </w:p>
        </w:tc>
      </w:tr>
      <w:tr w:rsidR="001E4617" w:rsidRPr="00606949" w:rsidTr="003E1377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оптимистичный (целевой)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874172" w:rsidRDefault="001E4617" w:rsidP="008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18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981B75" w:rsidRDefault="001E4617" w:rsidP="00981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18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18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0657A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6</w:t>
            </w:r>
          </w:p>
        </w:tc>
      </w:tr>
      <w:tr w:rsidR="001E4617" w:rsidRPr="00606949" w:rsidTr="003E1377">
        <w:trPr>
          <w:trHeight w:val="154"/>
          <w:jc w:val="center"/>
        </w:trPr>
        <w:tc>
          <w:tcPr>
            <w:tcW w:w="9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17" w:rsidRPr="000657A3" w:rsidRDefault="001E4617" w:rsidP="0088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Реальные располагаемые денежные доходы населения, %</w:t>
            </w:r>
          </w:p>
        </w:tc>
      </w:tr>
      <w:tr w:rsidR="001E4617" w:rsidRPr="00606949" w:rsidTr="003E1377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консервативный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C22E3D" w:rsidRDefault="001E4617" w:rsidP="00C22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99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C22E3D" w:rsidRDefault="001E4617" w:rsidP="00C22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100,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C22E3D" w:rsidRDefault="001E4617" w:rsidP="00C22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100,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3</w:t>
            </w:r>
          </w:p>
        </w:tc>
      </w:tr>
      <w:tr w:rsidR="001E4617" w:rsidRPr="00606949" w:rsidTr="003E1377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базовый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C22E3D" w:rsidRDefault="001E4617" w:rsidP="00C22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1</w:t>
            </w: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C22E3D" w:rsidRDefault="001E4617" w:rsidP="00C22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1</w:t>
            </w: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C22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,5</w:t>
            </w:r>
          </w:p>
        </w:tc>
      </w:tr>
      <w:tr w:rsidR="001E4617" w:rsidRPr="00606949" w:rsidTr="003E1377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оптимистичный (целевой)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617" w:rsidRPr="00C22E3D" w:rsidRDefault="001E4617" w:rsidP="00C22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617" w:rsidRPr="000657A3" w:rsidRDefault="001E4617" w:rsidP="00C22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617" w:rsidRPr="00C22E3D" w:rsidRDefault="001E4617" w:rsidP="00C22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9</w:t>
            </w:r>
          </w:p>
        </w:tc>
      </w:tr>
      <w:tr w:rsidR="001E4617" w:rsidRPr="00606949" w:rsidTr="003E1377">
        <w:trPr>
          <w:trHeight w:val="200"/>
          <w:jc w:val="center"/>
        </w:trPr>
        <w:tc>
          <w:tcPr>
            <w:tcW w:w="9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17" w:rsidRPr="000657A3" w:rsidRDefault="001E4617" w:rsidP="0088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Протяженность автомобильных дорог общего пользования с твердым покрытием, км</w:t>
            </w:r>
          </w:p>
        </w:tc>
      </w:tr>
      <w:tr w:rsidR="001E4617" w:rsidRPr="00606949" w:rsidTr="003E1377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консервативный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7351,6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307556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7667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617" w:rsidRPr="000657A3" w:rsidRDefault="001E4617" w:rsidP="0030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69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617" w:rsidRPr="000657A3" w:rsidRDefault="001E4617" w:rsidP="0030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69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</w:tr>
      <w:tr w:rsidR="001E4617" w:rsidRPr="00606949" w:rsidTr="003E1377">
        <w:trPr>
          <w:trHeight w:val="315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базовый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7382,3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30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67</w:t>
            </w: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30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69</w:t>
            </w: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E4617" w:rsidRPr="000657A3" w:rsidRDefault="001E4617" w:rsidP="0030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669</w:t>
            </w: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</w:tr>
      <w:tr w:rsidR="001E4617" w:rsidRPr="00606949" w:rsidTr="003E1377">
        <w:trPr>
          <w:trHeight w:val="31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оптимистичный (целевой)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7461,5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A4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0657A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30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7667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30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69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17" w:rsidRPr="000657A3" w:rsidRDefault="001E4617" w:rsidP="0030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69</w:t>
            </w: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</w:tr>
    </w:tbl>
    <w:p w:rsidR="001E4617" w:rsidRPr="000657A3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1E4617" w:rsidRPr="000657A3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0657A3">
        <w:rPr>
          <w:rFonts w:ascii="Times New Roman" w:hAnsi="Times New Roman"/>
          <w:i/>
          <w:sz w:val="20"/>
          <w:szCs w:val="20"/>
        </w:rPr>
        <w:t>* значение показателя по целевому сценарию Прогноза получено расчетным способом.</w:t>
      </w:r>
    </w:p>
    <w:p w:rsidR="001E4617" w:rsidRPr="000657A3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1E4617" w:rsidRPr="00A20E36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290">
        <w:rPr>
          <w:rFonts w:ascii="Times New Roman" w:hAnsi="Times New Roman"/>
          <w:sz w:val="24"/>
          <w:szCs w:val="24"/>
        </w:rPr>
        <w:t>Прирост численности населения Томской области в Прогнозе на 2020 год по всем трем сценариям не предусмотрен в сравнении с показателями Стратегии, в том чи</w:t>
      </w:r>
      <w:r>
        <w:rPr>
          <w:rFonts w:ascii="Times New Roman" w:hAnsi="Times New Roman"/>
          <w:sz w:val="24"/>
          <w:szCs w:val="24"/>
        </w:rPr>
        <w:t>с</w:t>
      </w:r>
      <w:r w:rsidRPr="009D1290">
        <w:rPr>
          <w:rFonts w:ascii="Times New Roman" w:hAnsi="Times New Roman"/>
          <w:sz w:val="24"/>
          <w:szCs w:val="24"/>
        </w:rPr>
        <w:t>ле по базовому сценарию</w:t>
      </w:r>
      <w:r>
        <w:rPr>
          <w:rFonts w:ascii="Times New Roman" w:hAnsi="Times New Roman"/>
          <w:sz w:val="24"/>
          <w:szCs w:val="24"/>
        </w:rPr>
        <w:t>.</w:t>
      </w:r>
      <w:r w:rsidRPr="009D1290">
        <w:rPr>
          <w:rFonts w:ascii="Times New Roman" w:hAnsi="Times New Roman"/>
          <w:sz w:val="24"/>
          <w:szCs w:val="24"/>
        </w:rPr>
        <w:t xml:space="preserve"> </w:t>
      </w:r>
      <w:r w:rsidRPr="00A20E36">
        <w:rPr>
          <w:rFonts w:ascii="Times New Roman" w:hAnsi="Times New Roman"/>
          <w:sz w:val="24"/>
          <w:szCs w:val="24"/>
        </w:rPr>
        <w:t>Ввиду отсутствия в Стратегии показателей социально-экономического развития Томс</w:t>
      </w:r>
      <w:r>
        <w:rPr>
          <w:rFonts w:ascii="Times New Roman" w:hAnsi="Times New Roman"/>
          <w:sz w:val="24"/>
          <w:szCs w:val="24"/>
        </w:rPr>
        <w:t>кой области на 2021 и 2022 годы</w:t>
      </w:r>
      <w:r w:rsidRPr="00A20E36">
        <w:rPr>
          <w:rFonts w:ascii="Times New Roman" w:hAnsi="Times New Roman"/>
          <w:sz w:val="24"/>
          <w:szCs w:val="24"/>
        </w:rPr>
        <w:t xml:space="preserve"> сопоставить данный показатель, как и восемь остальных, на среднесрочный период планирования не представляется возможным, при этом текстовая часть Прогноза, а также приложение 5 содержат </w:t>
      </w:r>
      <w:r>
        <w:rPr>
          <w:rFonts w:ascii="Times New Roman" w:hAnsi="Times New Roman"/>
          <w:sz w:val="24"/>
          <w:szCs w:val="24"/>
        </w:rPr>
        <w:t xml:space="preserve">ряд </w:t>
      </w:r>
      <w:r w:rsidRPr="00A20E36">
        <w:rPr>
          <w:rFonts w:ascii="Times New Roman" w:hAnsi="Times New Roman"/>
          <w:sz w:val="24"/>
          <w:szCs w:val="24"/>
        </w:rPr>
        <w:t>показател</w:t>
      </w:r>
      <w:r>
        <w:rPr>
          <w:rFonts w:ascii="Times New Roman" w:hAnsi="Times New Roman"/>
          <w:sz w:val="24"/>
          <w:szCs w:val="24"/>
        </w:rPr>
        <w:t>ей</w:t>
      </w:r>
      <w:r w:rsidRPr="00A20E36">
        <w:rPr>
          <w:rFonts w:ascii="Times New Roman" w:hAnsi="Times New Roman"/>
          <w:sz w:val="24"/>
          <w:szCs w:val="24"/>
        </w:rPr>
        <w:t xml:space="preserve"> 2021 и 2022 год</w:t>
      </w:r>
      <w:r>
        <w:rPr>
          <w:rFonts w:ascii="Times New Roman" w:hAnsi="Times New Roman"/>
          <w:sz w:val="24"/>
          <w:szCs w:val="24"/>
        </w:rPr>
        <w:t>ов, указанных</w:t>
      </w:r>
      <w:r w:rsidRPr="00A20E36">
        <w:rPr>
          <w:rFonts w:ascii="Times New Roman" w:hAnsi="Times New Roman"/>
          <w:sz w:val="24"/>
          <w:szCs w:val="24"/>
        </w:rPr>
        <w:t xml:space="preserve"> как утвержденные Стратегией. </w:t>
      </w:r>
    </w:p>
    <w:p w:rsidR="001E4617" w:rsidRPr="00932A61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2A61">
        <w:rPr>
          <w:rFonts w:ascii="Times New Roman" w:hAnsi="Times New Roman"/>
          <w:sz w:val="24"/>
          <w:szCs w:val="24"/>
        </w:rPr>
        <w:t xml:space="preserve">Сдержанный рост экономики области отразился на темпе прироста валового регионального продукта (в сопоставимых ценах), прогнозное значение на 2020 год значительно ниже сравниваемого значения показателя Стратегии по базовому сценарию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32A61">
        <w:rPr>
          <w:rFonts w:ascii="Times New Roman" w:hAnsi="Times New Roman"/>
          <w:sz w:val="24"/>
          <w:szCs w:val="24"/>
        </w:rPr>
        <w:t>на 2,2 пп. Прогноз темпа прироста ВРП на 2021 и 2022 года по базовому сценарию составили 0,9</w:t>
      </w:r>
      <w:r>
        <w:rPr>
          <w:rFonts w:ascii="Times New Roman" w:hAnsi="Times New Roman"/>
          <w:sz w:val="24"/>
          <w:szCs w:val="24"/>
        </w:rPr>
        <w:t>%</w:t>
      </w:r>
      <w:r w:rsidRPr="00932A61">
        <w:rPr>
          <w:rFonts w:ascii="Times New Roman" w:hAnsi="Times New Roman"/>
          <w:sz w:val="24"/>
          <w:szCs w:val="24"/>
        </w:rPr>
        <w:t xml:space="preserve"> и 0,3% соответственно (в Стратегии не установлен).</w:t>
      </w:r>
    </w:p>
    <w:p w:rsidR="001E4617" w:rsidRPr="007F49C5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9C5">
        <w:rPr>
          <w:rFonts w:ascii="Times New Roman" w:hAnsi="Times New Roman"/>
          <w:sz w:val="24"/>
          <w:szCs w:val="24"/>
        </w:rPr>
        <w:t xml:space="preserve">В результате модернизации топливно-энергетического комплекса и технического переоснащения производственных предприятий Томской области прогнозное снижение энергоемкости валового регионального продукта по базовому сценарию на 2020 год оценивается </w:t>
      </w:r>
      <w:r>
        <w:rPr>
          <w:rFonts w:ascii="Times New Roman" w:hAnsi="Times New Roman"/>
          <w:sz w:val="24"/>
          <w:szCs w:val="24"/>
        </w:rPr>
        <w:t xml:space="preserve">выше, чем по оптимистичному варианту Стратегии, также </w:t>
      </w:r>
      <w:r w:rsidRPr="007F49C5">
        <w:rPr>
          <w:rFonts w:ascii="Times New Roman" w:hAnsi="Times New Roman"/>
          <w:sz w:val="24"/>
          <w:szCs w:val="24"/>
        </w:rPr>
        <w:t xml:space="preserve">на 2021 и 2022 годы Прогнозом предусмотрен темп снижения энергоемкости валового регионального продукта </w:t>
      </w:r>
      <w:r>
        <w:rPr>
          <w:rFonts w:ascii="Times New Roman" w:hAnsi="Times New Roman"/>
          <w:sz w:val="24"/>
          <w:szCs w:val="24"/>
        </w:rPr>
        <w:t>(</w:t>
      </w:r>
      <w:r w:rsidRPr="007F49C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) </w:t>
      </w:r>
      <w:r w:rsidRPr="007F49C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,0%</w:t>
      </w:r>
      <w:r w:rsidRPr="007F49C5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 w:rsidRPr="007F49C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) 3</w:t>
      </w:r>
      <w:r w:rsidRPr="007F49C5">
        <w:rPr>
          <w:rFonts w:ascii="Times New Roman" w:hAnsi="Times New Roman"/>
          <w:sz w:val="24"/>
          <w:szCs w:val="24"/>
        </w:rPr>
        <w:t>,3% соответственно.</w:t>
      </w:r>
    </w:p>
    <w:p w:rsidR="001E4617" w:rsidRPr="009216AC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6AC">
        <w:rPr>
          <w:rFonts w:ascii="Times New Roman" w:hAnsi="Times New Roman"/>
          <w:sz w:val="24"/>
          <w:szCs w:val="24"/>
        </w:rPr>
        <w:t>Индекс производства по виду экономической деятельности «Обрабатывающие производства» в Прогнозе скорректирован в меньшую сторону по отношению к Стратегии на 2,3 пп., что обосновано темпами производства в традиционных обрабатывающих отраслях и опережающим развитием высокотехнологических производств. На 2021 и 2022 годы данный показатель по базовому сценарию Прогноза составит 105,8</w:t>
      </w:r>
      <w:r>
        <w:rPr>
          <w:rFonts w:ascii="Times New Roman" w:hAnsi="Times New Roman"/>
          <w:sz w:val="24"/>
          <w:szCs w:val="24"/>
        </w:rPr>
        <w:t>%</w:t>
      </w:r>
      <w:r w:rsidRPr="009216AC">
        <w:rPr>
          <w:rFonts w:ascii="Times New Roman" w:hAnsi="Times New Roman"/>
          <w:sz w:val="24"/>
          <w:szCs w:val="24"/>
        </w:rPr>
        <w:t xml:space="preserve"> и 103,3% соответственно.</w:t>
      </w:r>
    </w:p>
    <w:p w:rsidR="001E4617" w:rsidRPr="006129D8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9D8">
        <w:rPr>
          <w:rFonts w:ascii="Times New Roman" w:hAnsi="Times New Roman"/>
          <w:sz w:val="24"/>
          <w:szCs w:val="24"/>
        </w:rPr>
        <w:t>В связи с ухудшением структуры остаточных запасов, быстрым ростом доли трудноизвлекаемых запасов и неблагоприятной конъюнктурой на мировом рынке углеводородного сырья индекс производства по виду экономической деятельности «Добыча полезных ископаемых» на 2020 год снижен в Прогнозе на 1,7 пп., на 2021 и 2022 годы прогнозируется на уровне 99,9</w:t>
      </w:r>
      <w:r>
        <w:rPr>
          <w:rFonts w:ascii="Times New Roman" w:hAnsi="Times New Roman"/>
          <w:sz w:val="24"/>
          <w:szCs w:val="24"/>
        </w:rPr>
        <w:t>%</w:t>
      </w:r>
      <w:r w:rsidRPr="006129D8">
        <w:rPr>
          <w:rFonts w:ascii="Times New Roman" w:hAnsi="Times New Roman"/>
          <w:sz w:val="24"/>
          <w:szCs w:val="24"/>
        </w:rPr>
        <w:t xml:space="preserve"> и 100,2% соответственно.</w:t>
      </w:r>
    </w:p>
    <w:p w:rsidR="001E4617" w:rsidRPr="007A551D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551D">
        <w:rPr>
          <w:rFonts w:ascii="Times New Roman" w:hAnsi="Times New Roman"/>
          <w:sz w:val="24"/>
          <w:szCs w:val="24"/>
        </w:rPr>
        <w:t>Индекс производства продукции сельского хозяйства на первый год прогнозного периода выше показателя, предусмотренного Стратегией, на 0,2 пп. Данные изменения сформированы с учетом роста объемов производства сельскохозяйственной продукции в связи с реализацией крупных инвестиционных проектов в агропромышленном комплексе.</w:t>
      </w:r>
      <w:r w:rsidRPr="007A551D">
        <w:rPr>
          <w:rFonts w:ascii="Times New Roman" w:hAnsi="Times New Roman"/>
          <w:sz w:val="26"/>
          <w:szCs w:val="26"/>
        </w:rPr>
        <w:t xml:space="preserve"> </w:t>
      </w:r>
      <w:r w:rsidRPr="007A551D">
        <w:rPr>
          <w:rFonts w:ascii="Times New Roman" w:hAnsi="Times New Roman"/>
          <w:sz w:val="24"/>
          <w:szCs w:val="24"/>
        </w:rPr>
        <w:t>Прогноз на второй и третий год среднесрочного планирования по базовому сценарию составил 101,5</w:t>
      </w:r>
      <w:r>
        <w:rPr>
          <w:rFonts w:ascii="Times New Roman" w:hAnsi="Times New Roman"/>
          <w:sz w:val="24"/>
          <w:szCs w:val="24"/>
        </w:rPr>
        <w:t>%</w:t>
      </w:r>
      <w:r w:rsidRPr="007A551D">
        <w:rPr>
          <w:rFonts w:ascii="Times New Roman" w:hAnsi="Times New Roman"/>
          <w:sz w:val="24"/>
          <w:szCs w:val="24"/>
        </w:rPr>
        <w:t xml:space="preserve"> и 101,4% соответственно.</w:t>
      </w:r>
    </w:p>
    <w:p w:rsidR="001E4617" w:rsidRPr="00C61AC4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AC4">
        <w:rPr>
          <w:rFonts w:ascii="Times New Roman" w:hAnsi="Times New Roman"/>
          <w:sz w:val="24"/>
          <w:szCs w:val="24"/>
        </w:rPr>
        <w:t xml:space="preserve">В связи с недостатком собственных и заемных средств у инвесторов для осуществления долгосрочных инвестиций, а также низким уровнем потребительского и инвестиционного спросов в регионе показатель «Доля инвестиций в основной капитал в ВРП» по базовому сценарию в Прогнозе на 2020 год значительно скорректирован в меньшую сторону по отношению к показателю Стратегии - на </w:t>
      </w:r>
      <w:r w:rsidRPr="00A20E36">
        <w:rPr>
          <w:rFonts w:ascii="Times New Roman" w:hAnsi="Times New Roman"/>
          <w:b/>
          <w:sz w:val="24"/>
          <w:szCs w:val="24"/>
        </w:rPr>
        <w:t>11,5 пп</w:t>
      </w:r>
      <w:r w:rsidRPr="00C61AC4">
        <w:rPr>
          <w:rFonts w:ascii="Times New Roman" w:hAnsi="Times New Roman"/>
          <w:sz w:val="24"/>
          <w:szCs w:val="24"/>
        </w:rPr>
        <w:t xml:space="preserve">. На 2021-2022 годы данный показатель </w:t>
      </w:r>
      <w:r w:rsidRPr="00BA2260">
        <w:rPr>
          <w:rFonts w:ascii="Times New Roman" w:hAnsi="Times New Roman"/>
          <w:b/>
          <w:sz w:val="24"/>
          <w:szCs w:val="24"/>
        </w:rPr>
        <w:t>прогнозируется ещё ниже</w:t>
      </w:r>
      <w:r w:rsidRPr="00C61A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A20E36">
        <w:rPr>
          <w:rFonts w:ascii="Times New Roman" w:hAnsi="Times New Roman"/>
          <w:b/>
          <w:sz w:val="24"/>
          <w:szCs w:val="24"/>
        </w:rPr>
        <w:t>17,0% и 16,6%</w:t>
      </w:r>
      <w:r w:rsidRPr="00C61AC4">
        <w:rPr>
          <w:rFonts w:ascii="Times New Roman" w:hAnsi="Times New Roman"/>
          <w:sz w:val="24"/>
          <w:szCs w:val="24"/>
        </w:rPr>
        <w:t xml:space="preserve"> соответственно.</w:t>
      </w:r>
    </w:p>
    <w:p w:rsidR="001E4617" w:rsidRPr="00421C51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1C51">
        <w:rPr>
          <w:rFonts w:ascii="Times New Roman" w:hAnsi="Times New Roman"/>
          <w:sz w:val="24"/>
          <w:szCs w:val="24"/>
        </w:rPr>
        <w:t xml:space="preserve">Согласно табличной части Прогноза увеличение протяженности автомобильных дорог общего пользования с твердым покрытием в 2020 году </w:t>
      </w:r>
      <w:r w:rsidRPr="00737F50">
        <w:rPr>
          <w:rFonts w:ascii="Times New Roman" w:hAnsi="Times New Roman"/>
          <w:sz w:val="24"/>
          <w:szCs w:val="24"/>
        </w:rPr>
        <w:t>запланировано больше сравниваемого</w:t>
      </w:r>
      <w:r w:rsidRPr="00421C51">
        <w:rPr>
          <w:rFonts w:ascii="Times New Roman" w:hAnsi="Times New Roman"/>
          <w:sz w:val="24"/>
          <w:szCs w:val="24"/>
        </w:rPr>
        <w:t xml:space="preserve"> показателя Стратегии на 284,9 км. Причины корректировки показателя Прогноза в сторону увеличения связаны с реализацией мероприятий по строительству и реконструкции дорожных объектов, а также с включением протяженности улиц в отдельных муниципальных </w:t>
      </w:r>
      <w:r w:rsidRPr="00421C51">
        <w:rPr>
          <w:rFonts w:ascii="Times New Roman" w:hAnsi="Times New Roman"/>
          <w:sz w:val="24"/>
          <w:szCs w:val="24"/>
        </w:rPr>
        <w:lastRenderedPageBreak/>
        <w:t xml:space="preserve">образованиях в общий показатель протяженности автомобильных дорог общего пользования. Прирост протяженности автомобильных дорог в среднесрочном периоде по базовому варианту Прогноза ожидается до 7669,2 км. </w:t>
      </w:r>
    </w:p>
    <w:p w:rsidR="001E4617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3CE3">
        <w:rPr>
          <w:rFonts w:ascii="Times New Roman" w:hAnsi="Times New Roman"/>
          <w:sz w:val="24"/>
          <w:szCs w:val="24"/>
        </w:rPr>
        <w:t xml:space="preserve">В связи с опережающим ростом индекса потребительских цен по сравнению с темпами роста номинальных денежных доходов населения показатель </w:t>
      </w:r>
      <w:r>
        <w:rPr>
          <w:rFonts w:ascii="Times New Roman" w:hAnsi="Times New Roman"/>
          <w:sz w:val="24"/>
          <w:szCs w:val="24"/>
        </w:rPr>
        <w:t>«</w:t>
      </w:r>
      <w:r w:rsidRPr="00383CE3">
        <w:rPr>
          <w:rFonts w:ascii="Times New Roman" w:hAnsi="Times New Roman"/>
          <w:sz w:val="24"/>
          <w:szCs w:val="24"/>
        </w:rPr>
        <w:t>реальные располагаемые доходы населения</w:t>
      </w:r>
      <w:r>
        <w:rPr>
          <w:rFonts w:ascii="Times New Roman" w:hAnsi="Times New Roman"/>
          <w:sz w:val="24"/>
          <w:szCs w:val="24"/>
        </w:rPr>
        <w:t>»</w:t>
      </w:r>
      <w:r w:rsidRPr="00383CE3">
        <w:rPr>
          <w:rFonts w:ascii="Times New Roman" w:hAnsi="Times New Roman"/>
          <w:sz w:val="24"/>
          <w:szCs w:val="24"/>
        </w:rPr>
        <w:t xml:space="preserve"> по базовому сценарию Прогноза на 2020 год значительно снижен к показателю Стратегии – на </w:t>
      </w:r>
      <w:r>
        <w:rPr>
          <w:rFonts w:ascii="Times New Roman" w:hAnsi="Times New Roman"/>
          <w:sz w:val="24"/>
          <w:szCs w:val="24"/>
        </w:rPr>
        <w:t xml:space="preserve">2,1 </w:t>
      </w:r>
      <w:r w:rsidRPr="00383CE3">
        <w:rPr>
          <w:rFonts w:ascii="Times New Roman" w:hAnsi="Times New Roman"/>
          <w:sz w:val="24"/>
          <w:szCs w:val="24"/>
        </w:rPr>
        <w:t>пп.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32A61">
        <w:rPr>
          <w:rFonts w:ascii="Times New Roman" w:hAnsi="Times New Roman"/>
          <w:sz w:val="24"/>
          <w:szCs w:val="24"/>
        </w:rPr>
        <w:t xml:space="preserve">Прогноз на </w:t>
      </w:r>
      <w:r>
        <w:rPr>
          <w:rFonts w:ascii="Times New Roman" w:hAnsi="Times New Roman"/>
          <w:sz w:val="24"/>
          <w:szCs w:val="24"/>
        </w:rPr>
        <w:t>среднесрочный период</w:t>
      </w:r>
      <w:r w:rsidRPr="00932A61">
        <w:rPr>
          <w:rFonts w:ascii="Times New Roman" w:hAnsi="Times New Roman"/>
          <w:sz w:val="24"/>
          <w:szCs w:val="24"/>
        </w:rPr>
        <w:t xml:space="preserve"> по базовому сценарию составил</w:t>
      </w:r>
      <w:r>
        <w:rPr>
          <w:rFonts w:ascii="Times New Roman" w:hAnsi="Times New Roman"/>
          <w:sz w:val="24"/>
          <w:szCs w:val="24"/>
        </w:rPr>
        <w:t xml:space="preserve"> не выше 101,5</w:t>
      </w:r>
      <w:r w:rsidRPr="00932A61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</w:t>
      </w:r>
    </w:p>
    <w:p w:rsidR="001E4617" w:rsidRPr="002161F4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61F4">
        <w:rPr>
          <w:rFonts w:ascii="Times New Roman" w:hAnsi="Times New Roman"/>
          <w:sz w:val="24"/>
          <w:szCs w:val="24"/>
        </w:rPr>
        <w:t>Учитывая ежегодное отклонение Прогноза от параметров Стратегии, причем в существенных значениях по многим показателям и полное отсутствие показателей Стратегии на среднесрочный период, целесообразно провести работу по актуализации положений Стратегии с учетом изменений макроэкономической ситуации в регионе и в целом по стране.</w:t>
      </w:r>
    </w:p>
    <w:p w:rsidR="001E4617" w:rsidRPr="00B773C1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9A3">
        <w:rPr>
          <w:rFonts w:ascii="Times New Roman" w:hAnsi="Times New Roman"/>
          <w:sz w:val="24"/>
          <w:szCs w:val="24"/>
        </w:rPr>
        <w:t xml:space="preserve">Следует добавить, что Контрольно-счетная палата ранее в своих заключениях на законопроекты о бюджете неоднократно указывала на такие недостатки, как несоответствие показателей, отраженных в Прогнозе, показателям Стратегии, несоответствие наименований вариантов (сценариев) в Прогнозе и Стратегии, но </w:t>
      </w:r>
      <w:r w:rsidRPr="001759A3">
        <w:rPr>
          <w:rFonts w:ascii="Times New Roman" w:hAnsi="Times New Roman"/>
          <w:b/>
          <w:sz w:val="24"/>
          <w:szCs w:val="24"/>
        </w:rPr>
        <w:t>данные расхождения имеют место и в анализируемом периоде</w:t>
      </w:r>
      <w:r w:rsidRPr="001759A3">
        <w:rPr>
          <w:rFonts w:ascii="Times New Roman" w:hAnsi="Times New Roman"/>
          <w:sz w:val="24"/>
          <w:szCs w:val="24"/>
        </w:rPr>
        <w:t>.</w:t>
      </w:r>
      <w:r w:rsidRPr="000657A3">
        <w:rPr>
          <w:rFonts w:ascii="Times New Roman" w:hAnsi="Times New Roman"/>
          <w:i/>
          <w:sz w:val="24"/>
          <w:szCs w:val="24"/>
        </w:rPr>
        <w:t xml:space="preserve"> </w:t>
      </w:r>
      <w:r w:rsidRPr="00B773C1">
        <w:rPr>
          <w:rFonts w:ascii="Times New Roman" w:hAnsi="Times New Roman"/>
          <w:sz w:val="24"/>
          <w:szCs w:val="24"/>
        </w:rPr>
        <w:t xml:space="preserve">В результате вышеуказанных несоответствий для сопоставления прогнозных значений Стратегии со значениями показателей Прогноза не был включен в анализ </w:t>
      </w:r>
      <w:r>
        <w:rPr>
          <w:rFonts w:ascii="Times New Roman" w:hAnsi="Times New Roman"/>
          <w:sz w:val="24"/>
          <w:szCs w:val="24"/>
        </w:rPr>
        <w:t>такой</w:t>
      </w:r>
      <w:r w:rsidRPr="00B773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важный </w:t>
      </w:r>
      <w:r w:rsidRPr="00B773C1">
        <w:rPr>
          <w:rFonts w:ascii="Times New Roman" w:hAnsi="Times New Roman"/>
          <w:sz w:val="24"/>
          <w:szCs w:val="24"/>
        </w:rPr>
        <w:t>пока</w:t>
      </w:r>
      <w:r>
        <w:rPr>
          <w:rFonts w:ascii="Times New Roman" w:hAnsi="Times New Roman"/>
          <w:sz w:val="24"/>
          <w:szCs w:val="24"/>
        </w:rPr>
        <w:t xml:space="preserve">затель развития Томской области, как </w:t>
      </w:r>
      <w:r w:rsidRPr="00F9443E">
        <w:rPr>
          <w:rFonts w:ascii="Times New Roman" w:hAnsi="Times New Roman"/>
          <w:sz w:val="24"/>
          <w:szCs w:val="24"/>
          <w:u w:val="single"/>
        </w:rPr>
        <w:t>«Число созданных и модернизированных высокопроизводительных рабочих мест, тыс. единиц».</w:t>
      </w:r>
      <w:r w:rsidRPr="00B773C1">
        <w:rPr>
          <w:rFonts w:ascii="Times New Roman" w:hAnsi="Times New Roman"/>
          <w:sz w:val="24"/>
          <w:szCs w:val="24"/>
        </w:rPr>
        <w:t xml:space="preserve"> </w:t>
      </w:r>
    </w:p>
    <w:p w:rsidR="001E4617" w:rsidRPr="00B773C1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73C1">
        <w:rPr>
          <w:rFonts w:ascii="Times New Roman" w:hAnsi="Times New Roman"/>
          <w:sz w:val="24"/>
          <w:szCs w:val="24"/>
        </w:rPr>
        <w:t>Необходимость соблюдения преемственности показателей Прогноза параметрам Стратегии обусловлена следующим.</w:t>
      </w:r>
    </w:p>
    <w:p w:rsidR="001E4617" w:rsidRPr="00B773C1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3C1">
        <w:rPr>
          <w:rFonts w:ascii="Times New Roman" w:hAnsi="Times New Roman"/>
          <w:sz w:val="24"/>
          <w:szCs w:val="24"/>
        </w:rPr>
        <w:t>Согласно пункта 5 Порядка № 155а разработка Прогноза осуществляется на основании в том числе Стратегии, при этом в соответствии с пунктом 8 Порядка № 155а Прогноз должен содержать целевые показатели одного или нескольких вариантов среднесрочного прогноза, включая количественные показатели и качественные характеристики социально-экономического развития, которые зафиксированы в том числе в таблице 2 Стратегии, являющейся документом стратегического планирования, определяющей приоритеты, цели и задачи социально-экономического развития Томской области, основные направления их достижения на долгосрочную перспективу.</w:t>
      </w:r>
    </w:p>
    <w:p w:rsidR="001E4617" w:rsidRPr="000657A3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E4617" w:rsidRPr="000657A3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30641">
        <w:rPr>
          <w:rFonts w:ascii="Times New Roman" w:hAnsi="Times New Roman"/>
          <w:sz w:val="24"/>
          <w:szCs w:val="24"/>
        </w:rPr>
        <w:t xml:space="preserve">В соответствии с Законом о стратегическом планировании в Томской области в составе материалов и документов представлен проект изменений </w:t>
      </w:r>
      <w:r w:rsidRPr="00930641">
        <w:rPr>
          <w:rFonts w:ascii="Times New Roman" w:hAnsi="Times New Roman"/>
          <w:b/>
          <w:sz w:val="24"/>
          <w:szCs w:val="24"/>
        </w:rPr>
        <w:t>Бюджетного прогноза Томской области на период до 2030 года</w:t>
      </w:r>
      <w:r w:rsidRPr="00930641">
        <w:rPr>
          <w:rFonts w:ascii="Times New Roman" w:hAnsi="Times New Roman"/>
          <w:sz w:val="24"/>
          <w:szCs w:val="24"/>
        </w:rPr>
        <w:t xml:space="preserve"> (далее – Бюджетный прогноз). Проект изменений в Бюджетный прогноз подготовлен с учетом изменений Прогноза в соответствии с пунктом 3 статьи 170.1 Бюджетного кодекса РФ и пунктом 3 Порядка разработки и утверждения бюджетного прогноза Томской области на долгосрочный период (далее - Порядок разработки бюджетного прогноза), утвержденного постановлением Администрации Томской области, в котором подготовлены уточнения условий реализации Бюджетного прогноза, прогноза основных показателей областного бюджета и консолидированного бюджета Томской области до 2030 года (за исключением целевых межбюджетных трансфертов</w:t>
      </w:r>
      <w:r w:rsidRPr="00930641">
        <w:rPr>
          <w:rFonts w:ascii="Times New Roman" w:hAnsi="Times New Roman"/>
          <w:sz w:val="26"/>
          <w:szCs w:val="26"/>
        </w:rPr>
        <w:t xml:space="preserve"> </w:t>
      </w:r>
      <w:r w:rsidRPr="00930641">
        <w:rPr>
          <w:rFonts w:ascii="Times New Roman" w:hAnsi="Times New Roman"/>
          <w:sz w:val="24"/>
          <w:szCs w:val="24"/>
        </w:rPr>
        <w:t>из федерального бюджета</w:t>
      </w:r>
      <w:r w:rsidRPr="00930641">
        <w:rPr>
          <w:rFonts w:ascii="Times New Roman" w:hAnsi="Times New Roman"/>
          <w:sz w:val="26"/>
          <w:szCs w:val="26"/>
        </w:rPr>
        <w:t xml:space="preserve"> </w:t>
      </w:r>
      <w:r w:rsidRPr="00930641">
        <w:rPr>
          <w:rFonts w:ascii="Times New Roman" w:hAnsi="Times New Roman"/>
          <w:sz w:val="24"/>
          <w:szCs w:val="24"/>
        </w:rPr>
        <w:t>в связи с отсутствием уточненных данных об их объема</w:t>
      </w:r>
      <w:r>
        <w:rPr>
          <w:rFonts w:ascii="Times New Roman" w:hAnsi="Times New Roman"/>
          <w:sz w:val="24"/>
          <w:szCs w:val="24"/>
        </w:rPr>
        <w:t>х бюджету Томской области на 2020-2022</w:t>
      </w:r>
      <w:r w:rsidRPr="00930641">
        <w:rPr>
          <w:rFonts w:ascii="Times New Roman" w:hAnsi="Times New Roman"/>
          <w:sz w:val="24"/>
          <w:szCs w:val="24"/>
        </w:rPr>
        <w:t xml:space="preserve"> годы</w:t>
      </w:r>
      <w:r w:rsidRPr="006064F5">
        <w:rPr>
          <w:rFonts w:ascii="Times New Roman" w:hAnsi="Times New Roman"/>
          <w:sz w:val="24"/>
          <w:szCs w:val="24"/>
        </w:rPr>
        <w:t xml:space="preserve">) без изменения срока его действия. </w:t>
      </w:r>
    </w:p>
    <w:p w:rsidR="001E4617" w:rsidRPr="00D11FDB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674">
        <w:rPr>
          <w:rFonts w:ascii="Times New Roman" w:hAnsi="Times New Roman"/>
          <w:sz w:val="24"/>
          <w:szCs w:val="24"/>
        </w:rPr>
        <w:t>Изменения Бюджетного прогноза подготовлены на основе макроэкономических параметров прогноза социально-экономического развития Томской области на период до 2030 года (далее – прогноз СЭР)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F17D89">
        <w:rPr>
          <w:rFonts w:ascii="Times New Roman" w:hAnsi="Times New Roman"/>
          <w:sz w:val="24"/>
          <w:szCs w:val="24"/>
        </w:rPr>
        <w:t>Исходя из динамики основных макроэкономических показателей Томской области, которые свидетельствуют о сохранении устойчивой ситуации в ведущих секторах экономики и</w:t>
      </w:r>
      <w:r w:rsidRPr="00C51A4C">
        <w:rPr>
          <w:rFonts w:ascii="Times New Roman" w:hAnsi="Times New Roman"/>
          <w:sz w:val="24"/>
          <w:szCs w:val="24"/>
        </w:rPr>
        <w:t xml:space="preserve"> подтверждаются данными за 201</w:t>
      </w:r>
      <w:r>
        <w:rPr>
          <w:rFonts w:ascii="Times New Roman" w:hAnsi="Times New Roman"/>
          <w:sz w:val="24"/>
          <w:szCs w:val="24"/>
        </w:rPr>
        <w:t>7-2018</w:t>
      </w:r>
      <w:r w:rsidRPr="00C51A4C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  <w:r w:rsidRPr="00C51A4C">
        <w:rPr>
          <w:rFonts w:ascii="Times New Roman" w:hAnsi="Times New Roman"/>
          <w:sz w:val="24"/>
          <w:szCs w:val="24"/>
        </w:rPr>
        <w:t>, для разработки параметров Бюджетного прогноза на период до 2030 года использован базовый вариант прогноза СЭР.</w:t>
      </w:r>
      <w:r w:rsidRPr="000657A3">
        <w:rPr>
          <w:rFonts w:ascii="Times New Roman" w:hAnsi="Times New Roman"/>
          <w:i/>
          <w:sz w:val="24"/>
          <w:szCs w:val="24"/>
        </w:rPr>
        <w:t xml:space="preserve"> </w:t>
      </w:r>
    </w:p>
    <w:p w:rsidR="001E4617" w:rsidRPr="0062299E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1E1">
        <w:rPr>
          <w:rFonts w:ascii="Times New Roman" w:hAnsi="Times New Roman"/>
          <w:sz w:val="24"/>
          <w:szCs w:val="24"/>
        </w:rPr>
        <w:t xml:space="preserve">Необходимо обратить внимание на то, что программно-целевой метод планирования расходов бюджета на основе комплексных государственных программ призван увязать долгосрочные и среднесрочные стратегические цели и задачи социально-экономического развития региона с бюджетным финансированием, </w:t>
      </w:r>
      <w:r w:rsidRPr="0062299E">
        <w:rPr>
          <w:rFonts w:ascii="Times New Roman" w:hAnsi="Times New Roman"/>
          <w:sz w:val="24"/>
          <w:szCs w:val="24"/>
        </w:rPr>
        <w:t xml:space="preserve">однако на плановый период до 2030 года </w:t>
      </w:r>
      <w:r w:rsidRPr="0062299E">
        <w:rPr>
          <w:rFonts w:ascii="Times New Roman" w:hAnsi="Times New Roman"/>
          <w:sz w:val="24"/>
          <w:szCs w:val="24"/>
        </w:rPr>
        <w:lastRenderedPageBreak/>
        <w:t>расходы детализированы только по двум строкам - «расходы на обслуживание государственного долга» и «условно утвержденные расходы»  - без распределения расходов на программные и непрограммные мероприятия (раздел «Областной бюджет» приложения 2 к Бюджетному прогнозу).</w:t>
      </w:r>
    </w:p>
    <w:p w:rsidR="001E4617" w:rsidRPr="000C5B87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5B87">
        <w:rPr>
          <w:rFonts w:ascii="Times New Roman" w:hAnsi="Times New Roman"/>
          <w:sz w:val="24"/>
          <w:szCs w:val="24"/>
        </w:rPr>
        <w:t>Как и в заключениях, подготовленных Контрольно-счетной палатой в предыдущие годы при проведении анализа увязки основных параметров Бюджетного прогноза с показателями Стратегии</w:t>
      </w:r>
      <w:r w:rsidRPr="000C5B87">
        <w:rPr>
          <w:rFonts w:ascii="Times New Roman" w:hAnsi="Times New Roman"/>
          <w:b/>
          <w:sz w:val="24"/>
          <w:szCs w:val="24"/>
        </w:rPr>
        <w:t xml:space="preserve"> </w:t>
      </w:r>
      <w:r w:rsidRPr="000C5B87">
        <w:rPr>
          <w:rFonts w:ascii="Times New Roman" w:hAnsi="Times New Roman"/>
          <w:sz w:val="24"/>
          <w:szCs w:val="24"/>
        </w:rPr>
        <w:t>(раздел VI Стратегии), обращаем внимание на:</w:t>
      </w:r>
    </w:p>
    <w:p w:rsidR="001E4617" w:rsidRPr="000C5B87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5B87">
        <w:rPr>
          <w:rFonts w:ascii="Times New Roman" w:hAnsi="Times New Roman"/>
          <w:sz w:val="24"/>
          <w:szCs w:val="24"/>
        </w:rPr>
        <w:t>- несоответствие наименований вариантов (сценариев) прогноза СЭР и Стратегии;</w:t>
      </w:r>
    </w:p>
    <w:p w:rsidR="001E4617" w:rsidRPr="000C5B87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5B87">
        <w:rPr>
          <w:rFonts w:ascii="Times New Roman" w:hAnsi="Times New Roman"/>
          <w:sz w:val="24"/>
          <w:szCs w:val="24"/>
        </w:rPr>
        <w:t>- несоответствие состава показателей и их значений, отраженных в приложении 1 к Бюджетному прогнозу, показателям и их значениям, содержащимся в Стратегии.</w:t>
      </w:r>
    </w:p>
    <w:p w:rsidR="001E4617" w:rsidRPr="00833883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3883">
        <w:rPr>
          <w:rFonts w:ascii="Times New Roman" w:hAnsi="Times New Roman"/>
          <w:sz w:val="24"/>
          <w:szCs w:val="24"/>
        </w:rPr>
        <w:t>Несмотря на отсутствие нормативного закрепления необходимости соответствия показателей Бюджетного прогноза показателям Стратегии считаем целесообразным при формировании документов, определяющих направления деятельности по достижению прогнозных параметров Стратегии, руководствоваться принципами единства, целостности и преемственности системы стратегического планирования.</w:t>
      </w:r>
    </w:p>
    <w:p w:rsidR="001E4617" w:rsidRPr="00E843BE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3BE">
        <w:rPr>
          <w:rFonts w:ascii="Times New Roman" w:hAnsi="Times New Roman"/>
          <w:sz w:val="24"/>
          <w:szCs w:val="24"/>
        </w:rPr>
        <w:t xml:space="preserve">Так, наименования только трех показателей Бюджетного прогноза соответствуют показателям Стратегии, три показателя возможны для сравнения только после дополнительных расчетов («Темп прироста валового регионального продукта в сопоставимых ценах», «Прирост численности населения», «Доля инвестиций в основной капитал в валовом региональном продукте»), наименования четырех показателей в Бюджетном прогнозе отсутствуют («Реальные располагаемые денежные доходы населения», «Темп снижения энергоемкости валового регионального продукта», «Протяженность автомобильных дорог общего пользования с твердым покрытием», «Число созданных и модернизированных высокопроизводительных рабочих мест»). В результате только три целевых показателя социально-экономического развития из десяти, предусмотренных Стратегией, были представлены и анализируются в измененном Бюджетном прогнозе. </w:t>
      </w:r>
    </w:p>
    <w:p w:rsidR="001E4617" w:rsidRPr="00445BEB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BEB">
        <w:rPr>
          <w:rFonts w:ascii="Times New Roman" w:hAnsi="Times New Roman"/>
          <w:sz w:val="24"/>
          <w:szCs w:val="24"/>
        </w:rPr>
        <w:t xml:space="preserve">Кроме того, прогнозные значения показателей Стратегии развития Томской области на 2020, 2025 и 2030 годы отражены к уровню </w:t>
      </w:r>
      <w:r w:rsidRPr="00445BEB">
        <w:rPr>
          <w:rFonts w:ascii="Times New Roman" w:hAnsi="Times New Roman"/>
          <w:sz w:val="24"/>
          <w:szCs w:val="24"/>
          <w:u w:val="single"/>
        </w:rPr>
        <w:t>2013 года</w:t>
      </w:r>
      <w:r w:rsidRPr="00445BEB">
        <w:rPr>
          <w:rFonts w:ascii="Times New Roman" w:hAnsi="Times New Roman"/>
          <w:sz w:val="24"/>
          <w:szCs w:val="24"/>
        </w:rPr>
        <w:t xml:space="preserve">, а в прогнозе СЭР показатели за указанные годы отражены к показателям </w:t>
      </w:r>
      <w:r w:rsidRPr="00445BEB">
        <w:rPr>
          <w:rFonts w:ascii="Times New Roman" w:hAnsi="Times New Roman"/>
          <w:sz w:val="24"/>
          <w:szCs w:val="24"/>
          <w:u w:val="single"/>
        </w:rPr>
        <w:t>2015 года</w:t>
      </w:r>
      <w:r w:rsidRPr="00445BEB">
        <w:rPr>
          <w:rFonts w:ascii="Times New Roman" w:hAnsi="Times New Roman"/>
          <w:sz w:val="24"/>
          <w:szCs w:val="24"/>
        </w:rPr>
        <w:t>.</w:t>
      </w:r>
    </w:p>
    <w:p w:rsidR="001E4617" w:rsidRPr="000657A3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E4617" w:rsidRPr="00E843BE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43BE">
        <w:rPr>
          <w:rFonts w:ascii="Times New Roman" w:hAnsi="Times New Roman"/>
          <w:sz w:val="24"/>
          <w:szCs w:val="24"/>
        </w:rPr>
        <w:t>До настоящего времени Администрацией Томской области не реализовано полномочие по разработке прогноза социально-экономического развития Томской области на долгосрочный период (до 2030 года), предусмотренное пунктом 3 статьи 7 главы 3 Закона о стратегическом планировании в Томской области. Из документов стратегического планирования Томской области, разрабатываемых в рамках долгосрочного прогнозирования, представлен только</w:t>
      </w:r>
      <w:r w:rsidRPr="00E843BE">
        <w:rPr>
          <w:rFonts w:ascii="Times New Roman" w:hAnsi="Times New Roman"/>
          <w:sz w:val="26"/>
          <w:szCs w:val="26"/>
        </w:rPr>
        <w:t xml:space="preserve"> </w:t>
      </w:r>
      <w:r w:rsidRPr="00E843BE">
        <w:rPr>
          <w:rFonts w:ascii="Times New Roman" w:hAnsi="Times New Roman"/>
          <w:sz w:val="24"/>
          <w:szCs w:val="24"/>
        </w:rPr>
        <w:t xml:space="preserve">проект изменений в Бюджетный прогноз, в составе которого представлено описание параметров трех сценариев долгосрочного развития, основные макроэкономические показатели прогноза СЭР </w:t>
      </w:r>
      <w:r w:rsidRPr="00003DC4">
        <w:rPr>
          <w:rFonts w:ascii="Times New Roman" w:hAnsi="Times New Roman"/>
          <w:sz w:val="24"/>
          <w:szCs w:val="24"/>
        </w:rPr>
        <w:t>и краткая характеристика некоторых видов экономической деятельности.</w:t>
      </w:r>
      <w:r w:rsidRPr="00E843B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E4617" w:rsidRPr="00C169BD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9BD">
        <w:rPr>
          <w:rFonts w:ascii="Times New Roman" w:hAnsi="Times New Roman"/>
          <w:sz w:val="24"/>
          <w:szCs w:val="24"/>
        </w:rPr>
        <w:t>Необходимо отметить, что текстовая часть проекта изменений Бюджетного прогноза не содержит пояснений о причинах расхождения значений показателей прогноза СЭР с показателями Стратегии. В действительности данная информация в двух документах стратегического планирования по-прежнему несопоставима по причине отсутствия в Стратегии большей части значений показателей в том виде, в котором показатели представлены в прогнозе СЭР и в Бюджетном прогнозе.</w:t>
      </w:r>
    </w:p>
    <w:p w:rsidR="001E4617" w:rsidRPr="00AE643F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643F">
        <w:rPr>
          <w:rFonts w:ascii="Times New Roman" w:hAnsi="Times New Roman"/>
          <w:sz w:val="24"/>
          <w:szCs w:val="24"/>
        </w:rPr>
        <w:t xml:space="preserve">В материалах Бюджетного прогноза не </w:t>
      </w:r>
      <w:r w:rsidRPr="00AE643F">
        <w:rPr>
          <w:rFonts w:ascii="Times New Roman" w:hAnsi="Times New Roman"/>
          <w:sz w:val="24"/>
          <w:szCs w:val="24"/>
          <w:lang w:eastAsia="ru-RU"/>
        </w:rPr>
        <w:t xml:space="preserve">представлено описание и не дана оценка степени влияния основных факторов, влияющих на положительные стороны развития экономики области в долгосрочном периоде в разрезе следующих видов экономической деятельности: «Жилищно-коммунальное хозяйство», «Внешнеэкономическая деятельность», «Малое и среднее предпринимательство», а также развитие «Здравоохранения» и «Образования». При этом пунктом 4 Порядка разработки и корректировки прогноза социально-экономического развития Томской области на долгосрочный период установлено, что разработка показателей прогноза СЭР осуществляется с учетом прогноза по видам экономической деятельности, секторам, сферам и </w:t>
      </w:r>
      <w:r>
        <w:rPr>
          <w:rFonts w:ascii="Times New Roman" w:hAnsi="Times New Roman"/>
          <w:sz w:val="24"/>
          <w:szCs w:val="24"/>
          <w:lang w:eastAsia="ru-RU"/>
        </w:rPr>
        <w:t>направлениям развития экономики, а также с учетом стратегии социально-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экономического развития.</w:t>
      </w:r>
    </w:p>
    <w:p w:rsidR="001E4617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57F2C">
        <w:rPr>
          <w:rFonts w:ascii="Times New Roman" w:hAnsi="Times New Roman"/>
          <w:sz w:val="24"/>
          <w:szCs w:val="24"/>
          <w:lang w:eastAsia="ru-RU"/>
        </w:rPr>
        <w:t xml:space="preserve">Отсутствие в Бюджетном прогнозе оценки шести макроэкономических показателей социально-экономического развития Томской области, различный состав показателей всех документов и отклонения  значений большей части анализируемых показателей Прогноза, Стратегии, прогноза СЭР, на основе которого подготовлены изменения в Бюджетный прогноз, </w:t>
      </w:r>
      <w:r w:rsidRPr="00F57F2C">
        <w:rPr>
          <w:rFonts w:ascii="Times New Roman" w:hAnsi="Times New Roman"/>
          <w:b/>
          <w:sz w:val="24"/>
          <w:szCs w:val="24"/>
          <w:lang w:eastAsia="ru-RU"/>
        </w:rPr>
        <w:t xml:space="preserve">указывают на необходимость выработки единого подхода при разработке документов стратегического планирования, а также ставят под сомнение реалистичность показателей прогноза социально-экономического развития Томской области на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плановый </w:t>
      </w:r>
      <w:r w:rsidRPr="00F57F2C">
        <w:rPr>
          <w:rFonts w:ascii="Times New Roman" w:hAnsi="Times New Roman"/>
          <w:b/>
          <w:sz w:val="24"/>
          <w:szCs w:val="24"/>
          <w:lang w:eastAsia="ru-RU"/>
        </w:rPr>
        <w:t>период и, как следствие, достижение задач Стратегии.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1E4617" w:rsidRPr="000657A3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E4617" w:rsidRPr="009B15EF" w:rsidRDefault="001E4617" w:rsidP="009B1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57A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970683">
        <w:rPr>
          <w:rFonts w:ascii="Times New Roman" w:hAnsi="Times New Roman"/>
          <w:sz w:val="24"/>
          <w:szCs w:val="24"/>
          <w:lang w:eastAsia="ru-RU"/>
        </w:rPr>
        <w:t xml:space="preserve">При реализации </w:t>
      </w:r>
      <w:r w:rsidRPr="00970683">
        <w:rPr>
          <w:rFonts w:ascii="Times New Roman" w:hAnsi="Times New Roman"/>
          <w:b/>
          <w:sz w:val="24"/>
          <w:szCs w:val="24"/>
          <w:lang w:eastAsia="ru-RU"/>
        </w:rPr>
        <w:t>налоговой политики Томской области</w:t>
      </w:r>
      <w:r w:rsidRPr="00970683">
        <w:rPr>
          <w:rFonts w:ascii="Times New Roman" w:hAnsi="Times New Roman"/>
          <w:sz w:val="24"/>
          <w:szCs w:val="24"/>
          <w:lang w:eastAsia="ru-RU"/>
        </w:rPr>
        <w:t xml:space="preserve"> на 2020 год и на плановый период 2021 и 2022 годов особое внимание планируется уделить</w:t>
      </w:r>
      <w:r w:rsidRPr="005A44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0683">
        <w:rPr>
          <w:rFonts w:ascii="Times New Roman" w:hAnsi="Times New Roman"/>
          <w:sz w:val="24"/>
          <w:szCs w:val="24"/>
          <w:lang w:eastAsia="ru-RU"/>
        </w:rPr>
        <w:t xml:space="preserve">поддержанию сбалансированности бюджетной системы </w:t>
      </w:r>
      <w:r>
        <w:rPr>
          <w:rFonts w:ascii="Times New Roman" w:hAnsi="Times New Roman"/>
          <w:sz w:val="24"/>
          <w:szCs w:val="24"/>
          <w:lang w:eastAsia="ru-RU"/>
        </w:rPr>
        <w:t>региона</w:t>
      </w:r>
      <w:r w:rsidRPr="00970683">
        <w:rPr>
          <w:rFonts w:ascii="Times New Roman" w:hAnsi="Times New Roman"/>
          <w:sz w:val="24"/>
          <w:szCs w:val="24"/>
          <w:lang w:eastAsia="ru-RU"/>
        </w:rPr>
        <w:t>, обеспечению исполнения условий ежегодных Соглашений с Министерством финансов Российской Федерации о мерах по социально-экономическому развитию и оздоровлению государственных финансов Томской области.</w:t>
      </w:r>
      <w:r>
        <w:rPr>
          <w:rFonts w:ascii="Times New Roman" w:hAnsi="Times New Roman"/>
          <w:sz w:val="24"/>
          <w:szCs w:val="24"/>
          <w:lang w:eastAsia="ru-RU"/>
        </w:rPr>
        <w:t xml:space="preserve"> Ц</w:t>
      </w:r>
      <w:r w:rsidRPr="00CF3690">
        <w:rPr>
          <w:rFonts w:ascii="Times New Roman" w:hAnsi="Times New Roman"/>
          <w:sz w:val="24"/>
          <w:szCs w:val="24"/>
          <w:lang w:eastAsia="ru-RU"/>
        </w:rPr>
        <w:t>елями налоговой политики являются обеспечение устойчивости бюджетной системы, создание предсказуемой налоговой политики, направленной на стимулирование предпринимательской и инве</w:t>
      </w:r>
      <w:r>
        <w:rPr>
          <w:rFonts w:ascii="Times New Roman" w:hAnsi="Times New Roman"/>
          <w:sz w:val="24"/>
          <w:szCs w:val="24"/>
          <w:lang w:eastAsia="ru-RU"/>
        </w:rPr>
        <w:t>стиционной активности,</w:t>
      </w:r>
      <w:r w:rsidRPr="00CF3690">
        <w:rPr>
          <w:rFonts w:ascii="Times New Roman" w:hAnsi="Times New Roman"/>
          <w:sz w:val="24"/>
          <w:szCs w:val="24"/>
          <w:lang w:eastAsia="ru-RU"/>
        </w:rPr>
        <w:t xml:space="preserve"> упорядочение системы существующих налоговых льгот.</w:t>
      </w:r>
    </w:p>
    <w:p w:rsidR="001E4617" w:rsidRDefault="001E4617" w:rsidP="009B1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целях совершенствования налогового законодательства субъекта и</w:t>
      </w:r>
      <w:r w:rsidRPr="005A44B9">
        <w:rPr>
          <w:rFonts w:ascii="Times New Roman" w:hAnsi="Times New Roman"/>
          <w:sz w:val="24"/>
          <w:szCs w:val="24"/>
          <w:lang w:eastAsia="ru-RU"/>
        </w:rPr>
        <w:t xml:space="preserve"> достижения указанных целей налоговой политики предполагается</w:t>
      </w:r>
      <w:r w:rsidRPr="00862BA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отказаться от поддержки неэффективных инвестиций, но</w:t>
      </w:r>
      <w:r w:rsidRPr="009B15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44B9">
        <w:rPr>
          <w:rFonts w:ascii="Times New Roman" w:hAnsi="Times New Roman"/>
          <w:sz w:val="24"/>
          <w:szCs w:val="24"/>
          <w:lang w:eastAsia="ru-RU"/>
        </w:rPr>
        <w:t>сохранить п</w:t>
      </w:r>
      <w:r>
        <w:rPr>
          <w:rFonts w:ascii="Times New Roman" w:hAnsi="Times New Roman"/>
          <w:sz w:val="24"/>
          <w:szCs w:val="24"/>
          <w:lang w:eastAsia="ru-RU"/>
        </w:rPr>
        <w:t>ракти</w:t>
      </w:r>
      <w:r w:rsidRPr="005A44B9">
        <w:rPr>
          <w:rFonts w:ascii="Times New Roman" w:hAnsi="Times New Roman"/>
          <w:sz w:val="24"/>
          <w:szCs w:val="24"/>
          <w:lang w:eastAsia="ru-RU"/>
        </w:rPr>
        <w:t>ку предоставления налоговых льгот при условии наличия реального экономического, бюджетного или социального эффектов</w:t>
      </w:r>
      <w:r>
        <w:rPr>
          <w:rFonts w:ascii="Times New Roman" w:hAnsi="Times New Roman"/>
          <w:sz w:val="24"/>
          <w:szCs w:val="24"/>
          <w:lang w:eastAsia="ru-RU"/>
        </w:rPr>
        <w:t xml:space="preserve">, повысить стимулирующую функцию налогов, в том числе путем предоставления налоговых льгот, направленных на увеличение текущей налоговой базы, создание новых рабочих мест, поддержку экспортно-ориентированных видов экономической деятельности и импортозамещения, а также планируется продолжить работу по </w:t>
      </w:r>
      <w:r w:rsidRPr="000250F4">
        <w:rPr>
          <w:rFonts w:ascii="Times New Roman" w:hAnsi="Times New Roman"/>
          <w:sz w:val="24"/>
          <w:szCs w:val="24"/>
          <w:lang w:eastAsia="ru-RU"/>
        </w:rPr>
        <w:t>создани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0250F4">
        <w:rPr>
          <w:rFonts w:ascii="Times New Roman" w:hAnsi="Times New Roman"/>
          <w:sz w:val="24"/>
          <w:szCs w:val="24"/>
          <w:lang w:eastAsia="ru-RU"/>
        </w:rPr>
        <w:t xml:space="preserve"> справедливых конкурентных </w:t>
      </w:r>
      <w:r>
        <w:rPr>
          <w:rFonts w:ascii="Times New Roman" w:hAnsi="Times New Roman"/>
          <w:sz w:val="24"/>
          <w:szCs w:val="24"/>
          <w:lang w:eastAsia="ru-RU"/>
        </w:rPr>
        <w:t xml:space="preserve">условий, </w:t>
      </w:r>
      <w:r w:rsidRPr="000250F4">
        <w:rPr>
          <w:rFonts w:ascii="Times New Roman" w:hAnsi="Times New Roman"/>
          <w:sz w:val="24"/>
          <w:szCs w:val="24"/>
          <w:lang w:eastAsia="ru-RU"/>
        </w:rPr>
        <w:t>улучшени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0250F4">
        <w:rPr>
          <w:rFonts w:ascii="Times New Roman" w:hAnsi="Times New Roman"/>
          <w:sz w:val="24"/>
          <w:szCs w:val="24"/>
          <w:lang w:eastAsia="ru-RU"/>
        </w:rPr>
        <w:t xml:space="preserve"> условий ведения бизнеса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0250F4">
        <w:rPr>
          <w:rFonts w:ascii="Times New Roman" w:hAnsi="Times New Roman"/>
          <w:sz w:val="24"/>
          <w:szCs w:val="24"/>
          <w:lang w:eastAsia="ru-RU"/>
        </w:rPr>
        <w:t>сокращению теневого сектора экономики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E4617" w:rsidRPr="000250F4" w:rsidRDefault="001E4617" w:rsidP="009B1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4617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2A8A">
        <w:rPr>
          <w:rFonts w:ascii="Times New Roman" w:hAnsi="Times New Roman"/>
          <w:sz w:val="24"/>
          <w:szCs w:val="24"/>
          <w:lang w:eastAsia="ru-RU"/>
        </w:rPr>
        <w:t xml:space="preserve">Представленные с законопроектом основные направления </w:t>
      </w:r>
      <w:r w:rsidRPr="008C2A8A">
        <w:rPr>
          <w:rFonts w:ascii="Times New Roman" w:hAnsi="Times New Roman"/>
          <w:b/>
          <w:sz w:val="24"/>
          <w:szCs w:val="24"/>
          <w:lang w:eastAsia="ru-RU"/>
        </w:rPr>
        <w:t>бюджетной политики Томской области</w:t>
      </w:r>
      <w:r w:rsidRPr="008C2A8A">
        <w:rPr>
          <w:rFonts w:ascii="Times New Roman" w:hAnsi="Times New Roman"/>
          <w:sz w:val="24"/>
          <w:szCs w:val="24"/>
          <w:lang w:eastAsia="ru-RU"/>
        </w:rPr>
        <w:t xml:space="preserve"> на 2020 - 2022 годы повторяют цель бюджетной политики Томской области последних лет - обеспечение долгосрочной сбалансированности и устойчивости региональной финансовой системы</w:t>
      </w:r>
      <w:r w:rsidRPr="00B931FD">
        <w:rPr>
          <w:rFonts w:ascii="Times New Roman" w:hAnsi="Times New Roman"/>
          <w:sz w:val="24"/>
          <w:szCs w:val="24"/>
          <w:lang w:eastAsia="ru-RU"/>
        </w:rPr>
        <w:t>, достижение которой предусмотрено посредством решения следующих задач:</w:t>
      </w:r>
    </w:p>
    <w:p w:rsidR="001E4617" w:rsidRPr="00AE3866" w:rsidRDefault="001E4617" w:rsidP="00AE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866">
        <w:rPr>
          <w:rFonts w:ascii="Times New Roman" w:hAnsi="Times New Roman"/>
          <w:sz w:val="24"/>
          <w:szCs w:val="24"/>
          <w:lang w:eastAsia="ru-RU"/>
        </w:rPr>
        <w:t>1. Продолжение участия Томской области в реализации национальных проектов в рамках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E4617" w:rsidRPr="007E5F8C" w:rsidRDefault="001E4617" w:rsidP="00AE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866">
        <w:rPr>
          <w:rFonts w:ascii="Times New Roman" w:hAnsi="Times New Roman"/>
          <w:sz w:val="24"/>
          <w:szCs w:val="24"/>
          <w:lang w:eastAsia="ru-RU"/>
        </w:rPr>
        <w:t>2. Совершенствование методов и механизмов оценки эффективности бюджетных расходов и повышения качества бюджетного процесса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E4617" w:rsidRDefault="001E4617" w:rsidP="00AE3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866">
        <w:rPr>
          <w:rFonts w:ascii="Times New Roman" w:hAnsi="Times New Roman"/>
          <w:sz w:val="24"/>
          <w:szCs w:val="24"/>
          <w:lang w:eastAsia="ru-RU"/>
        </w:rPr>
        <w:t>3. Реализация новых требований бюджетного законодательства в части совершенствования межбюджетных отношений.</w:t>
      </w:r>
    </w:p>
    <w:p w:rsidR="001E4617" w:rsidRDefault="001E4617" w:rsidP="00B67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Высокая социально-экономическая</w:t>
      </w:r>
      <w:r w:rsidRPr="00644AB0">
        <w:rPr>
          <w:rFonts w:ascii="Times New Roman" w:hAnsi="Times New Roman"/>
          <w:sz w:val="24"/>
          <w:szCs w:val="24"/>
          <w:lang w:eastAsia="ru-RU"/>
        </w:rPr>
        <w:t xml:space="preserve"> значимость национальных проектов для развития региона</w:t>
      </w:r>
      <w:r>
        <w:rPr>
          <w:rFonts w:ascii="Times New Roman" w:hAnsi="Times New Roman"/>
          <w:sz w:val="24"/>
          <w:szCs w:val="24"/>
          <w:lang w:eastAsia="ru-RU"/>
        </w:rPr>
        <w:t xml:space="preserve"> определила основные направления деятельности на 2020 год, наиболее важные из них:</w:t>
      </w:r>
      <w:r w:rsidRPr="00B673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22B9">
        <w:rPr>
          <w:rFonts w:ascii="Times New Roman" w:hAnsi="Times New Roman"/>
          <w:sz w:val="24"/>
          <w:szCs w:val="24"/>
          <w:lang w:eastAsia="ru-RU"/>
        </w:rPr>
        <w:t>повышени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4922B9">
        <w:rPr>
          <w:rFonts w:ascii="Times New Roman" w:hAnsi="Times New Roman"/>
          <w:sz w:val="24"/>
          <w:szCs w:val="24"/>
          <w:lang w:eastAsia="ru-RU"/>
        </w:rPr>
        <w:t xml:space="preserve"> качества управления региональными проектами, обеспечени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4922B9">
        <w:rPr>
          <w:rFonts w:ascii="Times New Roman" w:hAnsi="Times New Roman"/>
          <w:sz w:val="24"/>
          <w:szCs w:val="24"/>
          <w:lang w:eastAsia="ru-RU"/>
        </w:rPr>
        <w:t xml:space="preserve"> надлежащего контроля за своевременностью и полнотой достижения заявленных результатов, эффективность освоения бюджетных средств. </w:t>
      </w:r>
    </w:p>
    <w:p w:rsidR="001E4617" w:rsidRPr="00317C72" w:rsidRDefault="001E4617" w:rsidP="006405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C72">
        <w:rPr>
          <w:rFonts w:ascii="Times New Roman" w:hAnsi="Times New Roman"/>
          <w:sz w:val="24"/>
          <w:szCs w:val="24"/>
          <w:lang w:eastAsia="ru-RU"/>
        </w:rPr>
        <w:t>В целях совершенствования методов и механизмов оценки эффективности бюджетных расходов и повышения качества бюджетного процесса планируется продолжить работу по совершенствованию методики оценки эффективности государственных программ Томской области, доработать систему показателей, используемых для оценки эффективности деятельности областных государственных учреждений, а также планируется продолжить совершенствование показателей, используемых для оценки качества управления бюджетным процессом в муниципальных образованиях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17C72">
        <w:rPr>
          <w:rFonts w:ascii="Times New Roman" w:hAnsi="Times New Roman"/>
          <w:sz w:val="24"/>
          <w:szCs w:val="24"/>
          <w:lang w:eastAsia="ru-RU"/>
        </w:rPr>
        <w:t xml:space="preserve">будет предусмотрен показатель, характеризующий </w:t>
      </w:r>
      <w:r w:rsidRPr="00317C72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работу муниципалитетов по сокращению задолженности по неналоговым платежам в бюджет.  </w:t>
      </w:r>
    </w:p>
    <w:p w:rsidR="001E4617" w:rsidRDefault="001E4617" w:rsidP="00F5494B">
      <w:pPr>
        <w:widowControl w:val="0"/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До конца 2019 года</w:t>
      </w:r>
      <w:r w:rsidRPr="00317C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743A9">
        <w:rPr>
          <w:rFonts w:ascii="Times New Roman" w:hAnsi="Times New Roman"/>
          <w:sz w:val="24"/>
          <w:szCs w:val="24"/>
          <w:lang w:eastAsia="ru-RU"/>
        </w:rPr>
        <w:t xml:space="preserve">на областном уровне будет разработана и утверждена необходимая нормативная правовая база в целях реализации с 2020 года новых требований </w:t>
      </w:r>
      <w:r>
        <w:rPr>
          <w:rFonts w:ascii="Times New Roman" w:hAnsi="Times New Roman"/>
          <w:sz w:val="24"/>
          <w:szCs w:val="24"/>
          <w:lang w:eastAsia="ru-RU"/>
        </w:rPr>
        <w:t xml:space="preserve">бюджетного законодательства </w:t>
      </w:r>
      <w:r w:rsidRPr="008743A9">
        <w:rPr>
          <w:rFonts w:ascii="Times New Roman" w:hAnsi="Times New Roman"/>
          <w:sz w:val="24"/>
          <w:szCs w:val="24"/>
          <w:lang w:eastAsia="ru-RU"/>
        </w:rPr>
        <w:t>к предоставлению ря</w:t>
      </w:r>
      <w:r>
        <w:rPr>
          <w:rFonts w:ascii="Times New Roman" w:hAnsi="Times New Roman"/>
          <w:sz w:val="24"/>
          <w:szCs w:val="24"/>
          <w:lang w:eastAsia="ru-RU"/>
        </w:rPr>
        <w:t>да межбюджетных трансфертов.</w:t>
      </w:r>
    </w:p>
    <w:p w:rsidR="001E4617" w:rsidRPr="002E1A6C" w:rsidRDefault="001E4617" w:rsidP="002E1A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A6C">
        <w:rPr>
          <w:rFonts w:ascii="Times New Roman" w:hAnsi="Times New Roman"/>
          <w:sz w:val="24"/>
          <w:szCs w:val="24"/>
          <w:lang w:eastAsia="ru-RU"/>
        </w:rPr>
        <w:t>С 2020 года существенно изменятся условия предоставле</w:t>
      </w:r>
      <w:r>
        <w:rPr>
          <w:rFonts w:ascii="Times New Roman" w:hAnsi="Times New Roman"/>
          <w:sz w:val="24"/>
          <w:szCs w:val="24"/>
          <w:lang w:eastAsia="ru-RU"/>
        </w:rPr>
        <w:t>ния местным бюджетам субсидий, в связи с этим б</w:t>
      </w:r>
      <w:r w:rsidRPr="002E1A6C">
        <w:rPr>
          <w:rFonts w:ascii="Times New Roman" w:hAnsi="Times New Roman"/>
          <w:sz w:val="24"/>
          <w:szCs w:val="24"/>
          <w:lang w:eastAsia="ru-RU"/>
        </w:rPr>
        <w:t xml:space="preserve">удут утверждены единые Правила, устанавливающие общие требования к формированию, предоставлению и распределению субсидий из областного бюджета местным бюджетам, а также порядок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образования. </w:t>
      </w:r>
    </w:p>
    <w:p w:rsidR="001E4617" w:rsidRPr="002B08EA" w:rsidRDefault="001E4617" w:rsidP="00DB388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08EA">
        <w:rPr>
          <w:rFonts w:ascii="Times New Roman" w:hAnsi="Times New Roman"/>
          <w:b/>
          <w:sz w:val="24"/>
          <w:szCs w:val="24"/>
        </w:rPr>
        <w:t>3. Анализ расчета основных макроэкономических показателей прогноза социально-экономического развития Томской области за 2019 год и на период 2020-2022 годы, в том числе оснований, наличия и состояния нормативно-методической базы для их прогнозирования</w:t>
      </w:r>
    </w:p>
    <w:p w:rsidR="001E4617" w:rsidRPr="000657A3" w:rsidRDefault="001E4617" w:rsidP="00DB388D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D173A">
        <w:rPr>
          <w:rFonts w:ascii="Times New Roman" w:hAnsi="Times New Roman"/>
          <w:sz w:val="24"/>
          <w:szCs w:val="24"/>
        </w:rPr>
        <w:t xml:space="preserve">В представленном Администрацией прогнозе основных показателей социально-экономического развития области ожидаемый объем валового регионального продукта (ВРП) в 2019 году оценивается в номинальном выражении 569,8 млрд.руб., в реальном выражении – 101,4%, индекс потребительских цен (декабрь к декабрю) – 104,5%, </w:t>
      </w:r>
      <w:r w:rsidRPr="00BC6265">
        <w:rPr>
          <w:rFonts w:ascii="Times New Roman" w:hAnsi="Times New Roman"/>
          <w:sz w:val="24"/>
          <w:szCs w:val="24"/>
        </w:rPr>
        <w:t>при прогнозных значениях, использованных при составлении проекта областного бюджета на 2019 год – 559,1 млрд.руб., 101,3% и 10</w:t>
      </w:r>
      <w:r>
        <w:rPr>
          <w:rFonts w:ascii="Times New Roman" w:hAnsi="Times New Roman"/>
          <w:sz w:val="24"/>
          <w:szCs w:val="24"/>
        </w:rPr>
        <w:t>4,1</w:t>
      </w:r>
      <w:r w:rsidRPr="00BC6265">
        <w:rPr>
          <w:rFonts w:ascii="Times New Roman" w:hAnsi="Times New Roman"/>
          <w:sz w:val="24"/>
          <w:szCs w:val="24"/>
        </w:rPr>
        <w:t>% соответственно</w:t>
      </w:r>
      <w:r w:rsidRPr="000657A3">
        <w:rPr>
          <w:rFonts w:ascii="Times New Roman" w:hAnsi="Times New Roman"/>
          <w:i/>
          <w:sz w:val="24"/>
          <w:szCs w:val="24"/>
        </w:rPr>
        <w:t>.</w:t>
      </w:r>
      <w:r w:rsidRPr="000657A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610477">
        <w:rPr>
          <w:rFonts w:ascii="Times New Roman" w:hAnsi="Times New Roman"/>
          <w:bCs/>
          <w:sz w:val="24"/>
          <w:szCs w:val="24"/>
        </w:rPr>
        <w:t>Основные макроэкономические показатели социально-экономического развития Томской области с прогнозом до 2022 года приведены в</w:t>
      </w:r>
      <w:r w:rsidRPr="000657A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117D7">
        <w:rPr>
          <w:rFonts w:ascii="Times New Roman" w:hAnsi="Times New Roman"/>
          <w:bCs/>
          <w:sz w:val="24"/>
          <w:szCs w:val="24"/>
        </w:rPr>
        <w:t>П</w:t>
      </w:r>
      <w:r w:rsidRPr="00B117D7">
        <w:rPr>
          <w:rFonts w:ascii="Times New Roman" w:hAnsi="Times New Roman"/>
          <w:sz w:val="24"/>
          <w:szCs w:val="24"/>
        </w:rPr>
        <w:t xml:space="preserve">риложении 1 </w:t>
      </w:r>
      <w:r w:rsidRPr="00610477">
        <w:rPr>
          <w:rFonts w:ascii="Times New Roman" w:hAnsi="Times New Roman"/>
          <w:sz w:val="24"/>
          <w:szCs w:val="24"/>
        </w:rPr>
        <w:t>к настоящему заключению</w:t>
      </w:r>
      <w:r w:rsidRPr="000657A3">
        <w:rPr>
          <w:rFonts w:ascii="Times New Roman" w:hAnsi="Times New Roman"/>
          <w:i/>
          <w:sz w:val="24"/>
          <w:szCs w:val="24"/>
        </w:rPr>
        <w:t>.</w:t>
      </w:r>
    </w:p>
    <w:p w:rsidR="001E4617" w:rsidRPr="00F56257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56257">
        <w:rPr>
          <w:rFonts w:ascii="Times New Roman" w:hAnsi="Times New Roman"/>
          <w:bCs/>
          <w:sz w:val="24"/>
          <w:szCs w:val="24"/>
        </w:rPr>
        <w:t xml:space="preserve">Темпы прироста объемов ВРП на 2020-2022 годы прогнозируются в размере 2,1%, 3% и 3,3%, прогноз по индексу потребительских цен (декабрь к декабрю) составляет 103,9%, 103,8% и 104% соответственно. </w:t>
      </w:r>
    </w:p>
    <w:p w:rsidR="001E4617" w:rsidRDefault="001E4617" w:rsidP="004962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698B">
        <w:rPr>
          <w:rFonts w:ascii="Times New Roman" w:hAnsi="Times New Roman"/>
          <w:sz w:val="24"/>
          <w:szCs w:val="24"/>
        </w:rPr>
        <w:t>Согласно материалам к законопроекту для разработки параметров консолидированного бюджета Томской области на 2020-2022 годы использован базовый сценарий (вариант 2), что соответствует</w:t>
      </w:r>
      <w:r w:rsidRPr="006C698B">
        <w:rPr>
          <w:rFonts w:ascii="Times New Roman" w:hAnsi="Times New Roman"/>
          <w:i/>
          <w:sz w:val="24"/>
          <w:szCs w:val="24"/>
        </w:rPr>
        <w:t xml:space="preserve"> </w:t>
      </w:r>
      <w:r w:rsidRPr="006064ED">
        <w:rPr>
          <w:rFonts w:ascii="Times New Roman" w:hAnsi="Times New Roman"/>
          <w:sz w:val="24"/>
          <w:szCs w:val="24"/>
        </w:rPr>
        <w:t>Прогноз</w:t>
      </w:r>
      <w:r>
        <w:rPr>
          <w:rFonts w:ascii="Times New Roman" w:hAnsi="Times New Roman"/>
          <w:sz w:val="24"/>
          <w:szCs w:val="24"/>
        </w:rPr>
        <w:t>у</w:t>
      </w:r>
      <w:r w:rsidRPr="006064ED">
        <w:rPr>
          <w:rFonts w:ascii="Times New Roman" w:hAnsi="Times New Roman"/>
          <w:sz w:val="24"/>
          <w:szCs w:val="24"/>
        </w:rPr>
        <w:t xml:space="preserve"> социально-экономического развития Российской Фе</w:t>
      </w:r>
      <w:r>
        <w:rPr>
          <w:rFonts w:ascii="Times New Roman" w:hAnsi="Times New Roman"/>
          <w:sz w:val="24"/>
          <w:szCs w:val="24"/>
        </w:rPr>
        <w:t xml:space="preserve">дерации на период до 2024 года. </w:t>
      </w:r>
      <w:r w:rsidRPr="00F46F2D">
        <w:rPr>
          <w:rFonts w:ascii="Times New Roman" w:hAnsi="Times New Roman"/>
          <w:sz w:val="24"/>
          <w:szCs w:val="24"/>
        </w:rPr>
        <w:t xml:space="preserve">Анализ увязки основных макроэкономических показателей прогноза социально-экономического развития Томской области по базовому варианту с соответствующими показателями по России показывает, что в целом динамика изменения реального объема ВРП Томской области соответствует </w:t>
      </w:r>
      <w:r>
        <w:rPr>
          <w:rFonts w:ascii="Times New Roman" w:hAnsi="Times New Roman"/>
          <w:sz w:val="24"/>
          <w:szCs w:val="24"/>
        </w:rPr>
        <w:t>общему тренду уровня ВВП России, за исключением 2017 года, когда</w:t>
      </w:r>
      <w:r w:rsidRPr="00767991">
        <w:rPr>
          <w:rFonts w:ascii="Times New Roman" w:hAnsi="Times New Roman"/>
          <w:sz w:val="24"/>
          <w:szCs w:val="24"/>
        </w:rPr>
        <w:t xml:space="preserve"> ВРП области продемонстрировал </w:t>
      </w:r>
      <w:r>
        <w:rPr>
          <w:rFonts w:ascii="Times New Roman" w:hAnsi="Times New Roman"/>
          <w:sz w:val="24"/>
          <w:szCs w:val="24"/>
        </w:rPr>
        <w:t>более</w:t>
      </w:r>
      <w:r w:rsidRPr="00767991">
        <w:rPr>
          <w:rFonts w:ascii="Times New Roman" w:hAnsi="Times New Roman"/>
          <w:sz w:val="24"/>
          <w:szCs w:val="24"/>
        </w:rPr>
        <w:t xml:space="preserve"> серьезное «проседание», чем ВВП России.</w:t>
      </w:r>
      <w:r w:rsidRPr="00563E02">
        <w:rPr>
          <w:rFonts w:ascii="Times New Roman" w:hAnsi="Times New Roman"/>
          <w:sz w:val="24"/>
          <w:szCs w:val="24"/>
        </w:rPr>
        <w:t xml:space="preserve"> По итогам 2018 года отклонение ВРП Томской области от ВВП России составляет 1,4 п.п., а по оценке на 2019 год выше общероссийского показателя на 0,1 п.п.</w:t>
      </w:r>
    </w:p>
    <w:p w:rsidR="001E4617" w:rsidRPr="00563E02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4617" w:rsidRPr="000657A3" w:rsidRDefault="00DB203B" w:rsidP="005E1C9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53.6pt;height:3in;visibility:visible">
            <v:imagedata r:id="rId8" o:title=""/>
          </v:shape>
        </w:pict>
      </w:r>
    </w:p>
    <w:p w:rsidR="001E4617" w:rsidRPr="00FA0446" w:rsidRDefault="001E4617" w:rsidP="00FA0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2E8">
        <w:rPr>
          <w:rFonts w:ascii="Times New Roman" w:hAnsi="Times New Roman"/>
          <w:sz w:val="24"/>
          <w:szCs w:val="24"/>
        </w:rPr>
        <w:lastRenderedPageBreak/>
        <w:t xml:space="preserve">Согласно данным Минэкономразвития РФ </w:t>
      </w:r>
      <w:r>
        <w:rPr>
          <w:rFonts w:ascii="Times New Roman" w:hAnsi="Times New Roman"/>
          <w:sz w:val="24"/>
          <w:szCs w:val="24"/>
        </w:rPr>
        <w:t>основной</w:t>
      </w:r>
      <w:r w:rsidRPr="003E02E8">
        <w:rPr>
          <w:rFonts w:ascii="Times New Roman" w:hAnsi="Times New Roman"/>
          <w:sz w:val="24"/>
          <w:szCs w:val="24"/>
        </w:rPr>
        <w:t xml:space="preserve"> вклад </w:t>
      </w:r>
      <w:r w:rsidRPr="00FC6761">
        <w:rPr>
          <w:rFonts w:ascii="Times New Roman" w:hAnsi="Times New Roman"/>
          <w:sz w:val="24"/>
          <w:szCs w:val="24"/>
        </w:rPr>
        <w:t xml:space="preserve">в рост экономики </w:t>
      </w:r>
      <w:r w:rsidRPr="003E02E8">
        <w:rPr>
          <w:rFonts w:ascii="Times New Roman" w:hAnsi="Times New Roman"/>
          <w:sz w:val="24"/>
          <w:szCs w:val="24"/>
        </w:rPr>
        <w:t xml:space="preserve">в целом по России по итогам 8 месяцев 2019 года </w:t>
      </w:r>
      <w:r w:rsidRPr="00FC6761">
        <w:rPr>
          <w:rFonts w:ascii="Times New Roman" w:hAnsi="Times New Roman"/>
          <w:sz w:val="24"/>
          <w:szCs w:val="24"/>
        </w:rPr>
        <w:t>внесло промышленное производство</w:t>
      </w:r>
      <w:r>
        <w:rPr>
          <w:rFonts w:ascii="Times New Roman" w:hAnsi="Times New Roman"/>
          <w:sz w:val="24"/>
          <w:szCs w:val="24"/>
        </w:rPr>
        <w:t>.</w:t>
      </w:r>
      <w:r w:rsidRPr="00CC4720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Отрицательный вклад оптовая и розничная торговля. </w:t>
      </w:r>
      <w:r w:rsidRPr="00363A63">
        <w:rPr>
          <w:rFonts w:ascii="Times New Roman" w:hAnsi="Times New Roman"/>
          <w:sz w:val="24"/>
          <w:szCs w:val="24"/>
        </w:rPr>
        <w:t>Применительно к оценочным показателям экономики Томской области картина, по данным Томскст</w:t>
      </w:r>
      <w:r>
        <w:rPr>
          <w:rFonts w:ascii="Times New Roman" w:hAnsi="Times New Roman"/>
          <w:sz w:val="24"/>
          <w:szCs w:val="24"/>
        </w:rPr>
        <w:t>ата, выглядит следующим образом: н</w:t>
      </w:r>
      <w:r w:rsidRPr="004E207F">
        <w:rPr>
          <w:rFonts w:ascii="Times New Roman" w:hAnsi="Times New Roman"/>
          <w:sz w:val="24"/>
          <w:szCs w:val="24"/>
        </w:rPr>
        <w:t xml:space="preserve">аиболее слабые темпы роста за 8 месяцев текущего года показали </w:t>
      </w:r>
      <w:r>
        <w:rPr>
          <w:rFonts w:ascii="Times New Roman" w:hAnsi="Times New Roman"/>
          <w:sz w:val="24"/>
          <w:szCs w:val="24"/>
        </w:rPr>
        <w:t xml:space="preserve">ввод в действие жилых домов – 68,8% и </w:t>
      </w:r>
      <w:r w:rsidRPr="004E207F">
        <w:rPr>
          <w:rFonts w:ascii="Times New Roman" w:hAnsi="Times New Roman"/>
          <w:sz w:val="24"/>
          <w:szCs w:val="24"/>
        </w:rPr>
        <w:t>оборот оптовой торговли – 78,7</w:t>
      </w:r>
      <w:r>
        <w:rPr>
          <w:rFonts w:ascii="Times New Roman" w:hAnsi="Times New Roman"/>
          <w:sz w:val="24"/>
          <w:szCs w:val="24"/>
        </w:rPr>
        <w:t>%</w:t>
      </w:r>
      <w:r w:rsidRPr="000657A3">
        <w:rPr>
          <w:rFonts w:ascii="Times New Roman" w:hAnsi="Times New Roman"/>
          <w:i/>
          <w:sz w:val="24"/>
          <w:szCs w:val="24"/>
        </w:rPr>
        <w:t>.</w:t>
      </w:r>
    </w:p>
    <w:p w:rsidR="001E4617" w:rsidRPr="00597B6A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B6A">
        <w:rPr>
          <w:rFonts w:ascii="Times New Roman" w:hAnsi="Times New Roman"/>
          <w:sz w:val="24"/>
          <w:szCs w:val="24"/>
        </w:rPr>
        <w:t>Динамика производства основных товаров-представителей в январе-августе 2019 года по сравнению с январем-августом 2018 года была следующей.</w:t>
      </w:r>
    </w:p>
    <w:p w:rsidR="001E4617" w:rsidRPr="00231701" w:rsidRDefault="001E4617" w:rsidP="009523C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231701">
        <w:rPr>
          <w:rFonts w:ascii="Times New Roman" w:hAnsi="Times New Roman" w:cs="Times New Roman"/>
          <w:b/>
        </w:rPr>
        <w:t>В добыче полезных ископаемых</w:t>
      </w:r>
      <w:r w:rsidRPr="00231701">
        <w:rPr>
          <w:rFonts w:ascii="Times New Roman" w:hAnsi="Times New Roman" w:cs="Times New Roman"/>
        </w:rPr>
        <w:t xml:space="preserve"> </w:t>
      </w:r>
      <w:r w:rsidRPr="002A783D">
        <w:rPr>
          <w:rFonts w:ascii="Times New Roman" w:hAnsi="Times New Roman" w:cs="Times New Roman"/>
        </w:rPr>
        <w:t>увеличилась добыча песка природного в 4</w:t>
      </w:r>
      <w:r>
        <w:rPr>
          <w:rFonts w:ascii="Times New Roman" w:hAnsi="Times New Roman" w:cs="Times New Roman"/>
        </w:rPr>
        <w:t>,8 раза; с</w:t>
      </w:r>
      <w:r w:rsidRPr="002A783D">
        <w:rPr>
          <w:rFonts w:ascii="Times New Roman" w:hAnsi="Times New Roman" w:cs="Times New Roman"/>
        </w:rPr>
        <w:t>ократилась добыча нефти сырой,</w:t>
      </w:r>
      <w:r>
        <w:rPr>
          <w:rFonts w:ascii="Times New Roman" w:hAnsi="Times New Roman" w:cs="Times New Roman"/>
        </w:rPr>
        <w:t xml:space="preserve"> включая газовый конденсат на 4,6%,</w:t>
      </w:r>
      <w:r w:rsidRPr="002A783D">
        <w:rPr>
          <w:rFonts w:ascii="Times New Roman" w:hAnsi="Times New Roman" w:cs="Times New Roman"/>
        </w:rPr>
        <w:t xml:space="preserve"> газа природного</w:t>
      </w:r>
      <w:r>
        <w:rPr>
          <w:rFonts w:ascii="Times New Roman" w:hAnsi="Times New Roman" w:cs="Times New Roman"/>
        </w:rPr>
        <w:t xml:space="preserve"> и попутного на 2,</w:t>
      </w:r>
      <w:r w:rsidRPr="002A783D">
        <w:rPr>
          <w:rFonts w:ascii="Times New Roman" w:hAnsi="Times New Roman" w:cs="Times New Roman"/>
        </w:rPr>
        <w:t>0%.</w:t>
      </w:r>
    </w:p>
    <w:p w:rsidR="001E4617" w:rsidRPr="00AC69C1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9C1">
        <w:rPr>
          <w:rFonts w:ascii="Times New Roman" w:hAnsi="Times New Roman"/>
          <w:b/>
          <w:sz w:val="24"/>
          <w:szCs w:val="24"/>
        </w:rPr>
        <w:t>В</w:t>
      </w:r>
      <w:r w:rsidRPr="00AC69C1">
        <w:rPr>
          <w:rFonts w:ascii="Times New Roman" w:hAnsi="Times New Roman"/>
          <w:sz w:val="24"/>
          <w:szCs w:val="24"/>
        </w:rPr>
        <w:t xml:space="preserve"> </w:t>
      </w:r>
      <w:r w:rsidRPr="00AC69C1">
        <w:rPr>
          <w:rFonts w:ascii="Times New Roman" w:hAnsi="Times New Roman"/>
          <w:b/>
          <w:sz w:val="24"/>
          <w:szCs w:val="24"/>
        </w:rPr>
        <w:t>производстве пищевых продуктов</w:t>
      </w:r>
      <w:r w:rsidRPr="00AC69C1">
        <w:rPr>
          <w:rFonts w:ascii="Times New Roman" w:hAnsi="Times New Roman"/>
          <w:sz w:val="24"/>
          <w:szCs w:val="24"/>
        </w:rPr>
        <w:t xml:space="preserve"> выросло производство изделий хлебобулочных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69C1">
        <w:rPr>
          <w:rFonts w:ascii="Times New Roman" w:hAnsi="Times New Roman"/>
          <w:sz w:val="24"/>
          <w:szCs w:val="24"/>
        </w:rPr>
        <w:t>недлительного хранения на 40,8%; свинины, кроме субпродуктов на 38,5%; творога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69C1">
        <w:rPr>
          <w:rFonts w:ascii="Times New Roman" w:hAnsi="Times New Roman"/>
          <w:sz w:val="24"/>
          <w:szCs w:val="24"/>
        </w:rPr>
        <w:t>16,2%; масла сливочного на 15,2%; кондитерских изделий на 3,8%.</w:t>
      </w:r>
    </w:p>
    <w:p w:rsidR="001E4617" w:rsidRPr="00AC69C1" w:rsidRDefault="001E4617" w:rsidP="00952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9C1">
        <w:rPr>
          <w:rFonts w:ascii="Times New Roman" w:hAnsi="Times New Roman"/>
          <w:sz w:val="24"/>
          <w:szCs w:val="24"/>
        </w:rPr>
        <w:t>Сократилось производство молока, кроме сырого на 3,1%; сыров на 4,0%; изделий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69C1">
        <w:rPr>
          <w:rFonts w:ascii="Times New Roman" w:hAnsi="Times New Roman"/>
          <w:sz w:val="24"/>
          <w:szCs w:val="24"/>
        </w:rPr>
        <w:t>колбасных, включая изделия колбасные для детского питания на 6,6%; сметаны на 10,2%.</w:t>
      </w:r>
    </w:p>
    <w:p w:rsidR="001E4617" w:rsidRPr="00187F04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7F04">
        <w:rPr>
          <w:rFonts w:ascii="Times New Roman" w:hAnsi="Times New Roman"/>
          <w:sz w:val="24"/>
          <w:szCs w:val="24"/>
        </w:rPr>
        <w:t xml:space="preserve">В производстве </w:t>
      </w:r>
      <w:r w:rsidRPr="00187F04">
        <w:rPr>
          <w:rFonts w:ascii="Times New Roman" w:hAnsi="Times New Roman"/>
          <w:b/>
          <w:sz w:val="24"/>
          <w:szCs w:val="24"/>
        </w:rPr>
        <w:t>напитков</w:t>
      </w:r>
      <w:r w:rsidRPr="00187F04">
        <w:rPr>
          <w:rFonts w:ascii="Times New Roman" w:hAnsi="Times New Roman"/>
          <w:sz w:val="24"/>
          <w:szCs w:val="24"/>
        </w:rPr>
        <w:t xml:space="preserve"> увеличился выпуск напитко</w:t>
      </w:r>
      <w:r>
        <w:rPr>
          <w:rFonts w:ascii="Times New Roman" w:hAnsi="Times New Roman"/>
          <w:sz w:val="24"/>
          <w:szCs w:val="24"/>
        </w:rPr>
        <w:t>в безалкогольных прочих на 5,1%; с</w:t>
      </w:r>
      <w:r w:rsidRPr="00016604">
        <w:rPr>
          <w:rFonts w:ascii="Times New Roman" w:hAnsi="Times New Roman"/>
          <w:sz w:val="24"/>
          <w:szCs w:val="24"/>
        </w:rPr>
        <w:t>ократилось производство пива, кроме отходов пивоварения на 5</w:t>
      </w:r>
      <w:r>
        <w:rPr>
          <w:rFonts w:ascii="Times New Roman" w:hAnsi="Times New Roman"/>
          <w:sz w:val="24"/>
          <w:szCs w:val="24"/>
        </w:rPr>
        <w:t>,</w:t>
      </w:r>
      <w:r w:rsidRPr="00016604">
        <w:rPr>
          <w:rFonts w:ascii="Times New Roman" w:hAnsi="Times New Roman"/>
          <w:sz w:val="24"/>
          <w:szCs w:val="24"/>
        </w:rPr>
        <w:t>8%.</w:t>
      </w:r>
    </w:p>
    <w:p w:rsidR="001E4617" w:rsidRPr="002C542B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42B">
        <w:rPr>
          <w:rFonts w:ascii="Times New Roman" w:hAnsi="Times New Roman"/>
          <w:sz w:val="24"/>
          <w:szCs w:val="24"/>
        </w:rPr>
        <w:t xml:space="preserve">В </w:t>
      </w:r>
      <w:r w:rsidRPr="002C542B">
        <w:rPr>
          <w:rFonts w:ascii="Times New Roman" w:hAnsi="Times New Roman"/>
          <w:b/>
          <w:sz w:val="24"/>
          <w:szCs w:val="24"/>
        </w:rPr>
        <w:t>производстве одежды</w:t>
      </w:r>
      <w:r w:rsidRPr="002C542B">
        <w:rPr>
          <w:rFonts w:ascii="Times New Roman" w:hAnsi="Times New Roman"/>
          <w:sz w:val="24"/>
          <w:szCs w:val="24"/>
        </w:rPr>
        <w:t xml:space="preserve"> увеличился пошив спецодежды в 2</w:t>
      </w:r>
      <w:r>
        <w:rPr>
          <w:rFonts w:ascii="Times New Roman" w:hAnsi="Times New Roman"/>
          <w:sz w:val="24"/>
          <w:szCs w:val="24"/>
        </w:rPr>
        <w:t>,</w:t>
      </w:r>
      <w:r w:rsidRPr="002C542B">
        <w:rPr>
          <w:rFonts w:ascii="Times New Roman" w:hAnsi="Times New Roman"/>
          <w:sz w:val="24"/>
          <w:szCs w:val="24"/>
        </w:rPr>
        <w:t>1 раза.</w:t>
      </w:r>
    </w:p>
    <w:p w:rsidR="001E4617" w:rsidRPr="002C542B" w:rsidRDefault="001E4617" w:rsidP="00952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42B">
        <w:rPr>
          <w:rFonts w:ascii="Times New Roman" w:hAnsi="Times New Roman"/>
          <w:sz w:val="24"/>
          <w:szCs w:val="24"/>
        </w:rPr>
        <w:t xml:space="preserve">В </w:t>
      </w:r>
      <w:r w:rsidRPr="002C542B">
        <w:rPr>
          <w:rFonts w:ascii="Times New Roman" w:hAnsi="Times New Roman"/>
          <w:b/>
          <w:sz w:val="24"/>
          <w:szCs w:val="24"/>
        </w:rPr>
        <w:t>обработке древесины и производстве изделий из дерева и пробки</w:t>
      </w:r>
      <w:r w:rsidRPr="002C542B">
        <w:rPr>
          <w:rFonts w:ascii="Times New Roman" w:hAnsi="Times New Roman"/>
          <w:sz w:val="24"/>
          <w:szCs w:val="24"/>
        </w:rPr>
        <w:t xml:space="preserve"> сократилось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542B">
        <w:rPr>
          <w:rFonts w:ascii="Times New Roman" w:hAnsi="Times New Roman"/>
          <w:sz w:val="24"/>
          <w:szCs w:val="24"/>
        </w:rPr>
        <w:t>производство шпона для фанеры на 19</w:t>
      </w:r>
      <w:r>
        <w:rPr>
          <w:rFonts w:ascii="Times New Roman" w:hAnsi="Times New Roman"/>
          <w:sz w:val="24"/>
          <w:szCs w:val="24"/>
        </w:rPr>
        <w:t>,</w:t>
      </w:r>
      <w:r w:rsidRPr="002C542B">
        <w:rPr>
          <w:rFonts w:ascii="Times New Roman" w:hAnsi="Times New Roman"/>
          <w:sz w:val="24"/>
          <w:szCs w:val="24"/>
        </w:rPr>
        <w:t>5%; пиломатериалов лиственных пород на 39</w:t>
      </w:r>
      <w:r>
        <w:rPr>
          <w:rFonts w:ascii="Times New Roman" w:hAnsi="Times New Roman"/>
          <w:sz w:val="24"/>
          <w:szCs w:val="24"/>
        </w:rPr>
        <w:t>,</w:t>
      </w:r>
      <w:r w:rsidRPr="002C542B">
        <w:rPr>
          <w:rFonts w:ascii="Times New Roman" w:hAnsi="Times New Roman"/>
          <w:sz w:val="24"/>
          <w:szCs w:val="24"/>
        </w:rPr>
        <w:t>2%.</w:t>
      </w:r>
    </w:p>
    <w:p w:rsidR="001E4617" w:rsidRPr="002C542B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42B">
        <w:rPr>
          <w:rFonts w:ascii="Times New Roman" w:hAnsi="Times New Roman"/>
          <w:sz w:val="24"/>
          <w:szCs w:val="24"/>
        </w:rPr>
        <w:t>Выросло производство пиломатериалов хвойных пород на 62</w:t>
      </w:r>
      <w:r>
        <w:rPr>
          <w:rFonts w:ascii="Times New Roman" w:hAnsi="Times New Roman"/>
          <w:sz w:val="24"/>
          <w:szCs w:val="24"/>
        </w:rPr>
        <w:t>,</w:t>
      </w:r>
      <w:r w:rsidRPr="002C542B">
        <w:rPr>
          <w:rFonts w:ascii="Times New Roman" w:hAnsi="Times New Roman"/>
          <w:sz w:val="24"/>
          <w:szCs w:val="24"/>
        </w:rPr>
        <w:t>4%.</w:t>
      </w:r>
    </w:p>
    <w:p w:rsidR="001E4617" w:rsidRPr="002C542B" w:rsidRDefault="001E4617" w:rsidP="00952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42B">
        <w:rPr>
          <w:rFonts w:ascii="Times New Roman" w:hAnsi="Times New Roman"/>
          <w:sz w:val="24"/>
          <w:szCs w:val="24"/>
        </w:rPr>
        <w:t xml:space="preserve">В производстве </w:t>
      </w:r>
      <w:r w:rsidRPr="002C542B">
        <w:rPr>
          <w:rFonts w:ascii="Times New Roman" w:hAnsi="Times New Roman"/>
          <w:b/>
          <w:sz w:val="24"/>
          <w:szCs w:val="24"/>
        </w:rPr>
        <w:t>изделий резиновых и пластмассовых</w:t>
      </w:r>
      <w:r w:rsidRPr="002C542B">
        <w:rPr>
          <w:rFonts w:ascii="Times New Roman" w:hAnsi="Times New Roman"/>
          <w:sz w:val="24"/>
          <w:szCs w:val="24"/>
        </w:rPr>
        <w:t xml:space="preserve"> увеличилось производство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542B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локов оконных пластмассовых в 4,</w:t>
      </w:r>
      <w:r w:rsidRPr="002C542B">
        <w:rPr>
          <w:rFonts w:ascii="Times New Roman" w:hAnsi="Times New Roman"/>
          <w:sz w:val="24"/>
          <w:szCs w:val="24"/>
        </w:rPr>
        <w:t>9 раза; изделий упаковочных пластмассовых прочих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542B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,</w:t>
      </w:r>
      <w:r w:rsidRPr="002C542B">
        <w:rPr>
          <w:rFonts w:ascii="Times New Roman" w:hAnsi="Times New Roman"/>
          <w:sz w:val="24"/>
          <w:szCs w:val="24"/>
        </w:rPr>
        <w:t xml:space="preserve">4%; бутылей, бутылок, флаконов и аналогичных изделий из пластмасс </w:t>
      </w:r>
      <w:r>
        <w:rPr>
          <w:rFonts w:ascii="Times New Roman" w:hAnsi="Times New Roman"/>
          <w:sz w:val="24"/>
          <w:szCs w:val="24"/>
        </w:rPr>
        <w:t>на 16,</w:t>
      </w:r>
      <w:r w:rsidRPr="002C542B">
        <w:rPr>
          <w:rFonts w:ascii="Times New Roman" w:hAnsi="Times New Roman"/>
          <w:sz w:val="24"/>
          <w:szCs w:val="24"/>
        </w:rPr>
        <w:t>9%.</w:t>
      </w:r>
    </w:p>
    <w:p w:rsidR="001E4617" w:rsidRPr="002C542B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42B">
        <w:rPr>
          <w:rFonts w:ascii="Times New Roman" w:hAnsi="Times New Roman"/>
          <w:sz w:val="24"/>
          <w:szCs w:val="24"/>
        </w:rPr>
        <w:t xml:space="preserve">В производстве </w:t>
      </w:r>
      <w:r w:rsidRPr="005765C7">
        <w:rPr>
          <w:rFonts w:ascii="Times New Roman" w:hAnsi="Times New Roman"/>
          <w:b/>
          <w:sz w:val="24"/>
          <w:szCs w:val="24"/>
        </w:rPr>
        <w:t>прочей неметаллической минеральной продукции</w:t>
      </w:r>
      <w:r w:rsidRPr="002C542B">
        <w:rPr>
          <w:rFonts w:ascii="Times New Roman" w:hAnsi="Times New Roman"/>
          <w:sz w:val="24"/>
          <w:szCs w:val="24"/>
        </w:rPr>
        <w:t xml:space="preserve"> выросло производство бетона, готового для заливки (товарного бетона) на 69</w:t>
      </w:r>
      <w:r>
        <w:rPr>
          <w:rFonts w:ascii="Times New Roman" w:hAnsi="Times New Roman"/>
          <w:sz w:val="24"/>
          <w:szCs w:val="24"/>
        </w:rPr>
        <w:t>,</w:t>
      </w:r>
      <w:r w:rsidRPr="002C542B">
        <w:rPr>
          <w:rFonts w:ascii="Times New Roman" w:hAnsi="Times New Roman"/>
          <w:sz w:val="24"/>
          <w:szCs w:val="24"/>
        </w:rPr>
        <w:t>0%; растворов строительных на 25</w:t>
      </w:r>
      <w:r>
        <w:rPr>
          <w:rFonts w:ascii="Times New Roman" w:hAnsi="Times New Roman"/>
          <w:sz w:val="24"/>
          <w:szCs w:val="24"/>
        </w:rPr>
        <w:t>,</w:t>
      </w:r>
      <w:r w:rsidRPr="002C542B">
        <w:rPr>
          <w:rFonts w:ascii="Times New Roman" w:hAnsi="Times New Roman"/>
          <w:sz w:val="24"/>
          <w:szCs w:val="24"/>
        </w:rPr>
        <w:t>2%.</w:t>
      </w:r>
    </w:p>
    <w:p w:rsidR="001E4617" w:rsidRDefault="001E4617" w:rsidP="00952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42B">
        <w:rPr>
          <w:rFonts w:ascii="Times New Roman" w:hAnsi="Times New Roman"/>
          <w:sz w:val="24"/>
          <w:szCs w:val="24"/>
        </w:rPr>
        <w:t>Сократилось производство блоков и прочих и</w:t>
      </w:r>
      <w:r>
        <w:rPr>
          <w:rFonts w:ascii="Times New Roman" w:hAnsi="Times New Roman"/>
          <w:sz w:val="24"/>
          <w:szCs w:val="24"/>
        </w:rPr>
        <w:t xml:space="preserve">зделий сборных строительных для </w:t>
      </w:r>
      <w:r w:rsidRPr="002C542B">
        <w:rPr>
          <w:rFonts w:ascii="Times New Roman" w:hAnsi="Times New Roman"/>
          <w:sz w:val="24"/>
          <w:szCs w:val="24"/>
        </w:rPr>
        <w:t>зданий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542B">
        <w:rPr>
          <w:rFonts w:ascii="Times New Roman" w:hAnsi="Times New Roman"/>
          <w:sz w:val="24"/>
          <w:szCs w:val="24"/>
        </w:rPr>
        <w:t>и сооружений из цемента, бетона или искусственного камня на 5</w:t>
      </w:r>
      <w:r>
        <w:rPr>
          <w:rFonts w:ascii="Times New Roman" w:hAnsi="Times New Roman"/>
          <w:sz w:val="24"/>
          <w:szCs w:val="24"/>
        </w:rPr>
        <w:t>,</w:t>
      </w:r>
      <w:r w:rsidRPr="002C542B">
        <w:rPr>
          <w:rFonts w:ascii="Times New Roman" w:hAnsi="Times New Roman"/>
          <w:sz w:val="24"/>
          <w:szCs w:val="24"/>
        </w:rPr>
        <w:t>5%.</w:t>
      </w:r>
    </w:p>
    <w:p w:rsidR="001E4617" w:rsidRPr="00BF7F6E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7F6E">
        <w:rPr>
          <w:rFonts w:ascii="Times New Roman" w:hAnsi="Times New Roman"/>
          <w:sz w:val="24"/>
          <w:szCs w:val="24"/>
        </w:rPr>
        <w:t xml:space="preserve">В </w:t>
      </w:r>
      <w:r w:rsidRPr="00BF7F6E">
        <w:rPr>
          <w:rFonts w:ascii="Times New Roman" w:hAnsi="Times New Roman"/>
          <w:b/>
          <w:sz w:val="24"/>
          <w:szCs w:val="24"/>
        </w:rPr>
        <w:t>производстве компьютеров, электронных и оптических изделий</w:t>
      </w:r>
      <w:r w:rsidRPr="00BF7F6E">
        <w:rPr>
          <w:rFonts w:ascii="Times New Roman" w:hAnsi="Times New Roman"/>
          <w:sz w:val="24"/>
          <w:szCs w:val="24"/>
        </w:rPr>
        <w:t xml:space="preserve"> увеличился выпуск приборов для контроля прочих физических величин на 3</w:t>
      </w:r>
      <w:r>
        <w:rPr>
          <w:rFonts w:ascii="Times New Roman" w:hAnsi="Times New Roman"/>
          <w:sz w:val="24"/>
          <w:szCs w:val="24"/>
        </w:rPr>
        <w:t>,</w:t>
      </w:r>
      <w:r w:rsidRPr="00BF7F6E">
        <w:rPr>
          <w:rFonts w:ascii="Times New Roman" w:hAnsi="Times New Roman"/>
          <w:sz w:val="24"/>
          <w:szCs w:val="24"/>
        </w:rPr>
        <w:t>6%; инструмента и приборов прочих для измерения, контроля и испытаний на 0</w:t>
      </w:r>
      <w:r>
        <w:rPr>
          <w:rFonts w:ascii="Times New Roman" w:hAnsi="Times New Roman"/>
          <w:sz w:val="24"/>
          <w:szCs w:val="24"/>
        </w:rPr>
        <w:t>,</w:t>
      </w:r>
      <w:r w:rsidRPr="00BF7F6E">
        <w:rPr>
          <w:rFonts w:ascii="Times New Roman" w:hAnsi="Times New Roman"/>
          <w:sz w:val="24"/>
          <w:szCs w:val="24"/>
        </w:rPr>
        <w:t>8%.</w:t>
      </w:r>
    </w:p>
    <w:p w:rsidR="001E4617" w:rsidRPr="00BF7F6E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7F6E">
        <w:rPr>
          <w:rFonts w:ascii="Times New Roman" w:hAnsi="Times New Roman"/>
          <w:sz w:val="24"/>
          <w:szCs w:val="24"/>
        </w:rPr>
        <w:t xml:space="preserve">В производстве </w:t>
      </w:r>
      <w:r w:rsidRPr="00BF7F6E">
        <w:rPr>
          <w:rFonts w:ascii="Times New Roman" w:hAnsi="Times New Roman"/>
          <w:b/>
          <w:sz w:val="24"/>
          <w:szCs w:val="24"/>
        </w:rPr>
        <w:t>электрического оборудования</w:t>
      </w:r>
      <w:r w:rsidRPr="00BF7F6E">
        <w:rPr>
          <w:rFonts w:ascii="Times New Roman" w:hAnsi="Times New Roman"/>
          <w:sz w:val="24"/>
          <w:szCs w:val="24"/>
        </w:rPr>
        <w:t xml:space="preserve"> выросло производство машин электрических и аппа</w:t>
      </w:r>
      <w:r>
        <w:rPr>
          <w:rFonts w:ascii="Times New Roman" w:hAnsi="Times New Roman"/>
          <w:sz w:val="24"/>
          <w:szCs w:val="24"/>
        </w:rPr>
        <w:t>ратуры специализированной на 39,</w:t>
      </w:r>
      <w:r w:rsidRPr="00BF7F6E">
        <w:rPr>
          <w:rFonts w:ascii="Times New Roman" w:hAnsi="Times New Roman"/>
          <w:sz w:val="24"/>
          <w:szCs w:val="24"/>
        </w:rPr>
        <w:t>0%; проводников электрических прочих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7F6E">
        <w:rPr>
          <w:rFonts w:ascii="Times New Roman" w:hAnsi="Times New Roman"/>
          <w:sz w:val="24"/>
          <w:szCs w:val="24"/>
        </w:rPr>
        <w:t>напряжение не более 1 кВ на 36</w:t>
      </w:r>
      <w:r>
        <w:rPr>
          <w:rFonts w:ascii="Times New Roman" w:hAnsi="Times New Roman"/>
          <w:sz w:val="24"/>
          <w:szCs w:val="24"/>
        </w:rPr>
        <w:t>,</w:t>
      </w:r>
      <w:r w:rsidRPr="00BF7F6E">
        <w:rPr>
          <w:rFonts w:ascii="Times New Roman" w:hAnsi="Times New Roman"/>
          <w:sz w:val="24"/>
          <w:szCs w:val="24"/>
        </w:rPr>
        <w:t>5%.</w:t>
      </w:r>
    </w:p>
    <w:p w:rsidR="001E4617" w:rsidRPr="00BF7F6E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7F6E">
        <w:rPr>
          <w:rFonts w:ascii="Times New Roman" w:hAnsi="Times New Roman"/>
          <w:sz w:val="24"/>
          <w:szCs w:val="24"/>
        </w:rPr>
        <w:t>Сократилось производство электродвигателей переменного тока многофазные мощностью от 750 Вт до 75 кВт на 7</w:t>
      </w:r>
      <w:r>
        <w:rPr>
          <w:rFonts w:ascii="Times New Roman" w:hAnsi="Times New Roman"/>
          <w:sz w:val="24"/>
          <w:szCs w:val="24"/>
        </w:rPr>
        <w:t>,</w:t>
      </w:r>
      <w:r w:rsidRPr="00BF7F6E">
        <w:rPr>
          <w:rFonts w:ascii="Times New Roman" w:hAnsi="Times New Roman"/>
          <w:sz w:val="24"/>
          <w:szCs w:val="24"/>
        </w:rPr>
        <w:t>2%.</w:t>
      </w:r>
    </w:p>
    <w:p w:rsidR="001E4617" w:rsidRPr="00BF7F6E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7F6E">
        <w:rPr>
          <w:rFonts w:ascii="Times New Roman" w:hAnsi="Times New Roman"/>
          <w:sz w:val="24"/>
          <w:szCs w:val="24"/>
        </w:rPr>
        <w:t xml:space="preserve">В </w:t>
      </w:r>
      <w:r w:rsidRPr="00BF7F6E">
        <w:rPr>
          <w:rFonts w:ascii="Times New Roman" w:hAnsi="Times New Roman"/>
          <w:b/>
          <w:sz w:val="24"/>
          <w:szCs w:val="24"/>
        </w:rPr>
        <w:t>обеспечении электрической энергией, газом и паром; кондиционировании воздуха</w:t>
      </w:r>
      <w:r w:rsidRPr="00BF7F6E">
        <w:rPr>
          <w:rFonts w:ascii="Times New Roman" w:hAnsi="Times New Roman"/>
          <w:sz w:val="24"/>
          <w:szCs w:val="24"/>
        </w:rPr>
        <w:t xml:space="preserve"> сократилось производство электроэнергии на 0</w:t>
      </w:r>
      <w:r>
        <w:rPr>
          <w:rFonts w:ascii="Times New Roman" w:hAnsi="Times New Roman"/>
          <w:sz w:val="24"/>
          <w:szCs w:val="24"/>
        </w:rPr>
        <w:t>,</w:t>
      </w:r>
      <w:r w:rsidRPr="00BF7F6E">
        <w:rPr>
          <w:rFonts w:ascii="Times New Roman" w:hAnsi="Times New Roman"/>
          <w:sz w:val="24"/>
          <w:szCs w:val="24"/>
        </w:rPr>
        <w:t>1%, пара и горячей воды сократилось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7F6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Pr="00BF7F6E">
        <w:rPr>
          <w:rFonts w:ascii="Times New Roman" w:hAnsi="Times New Roman"/>
          <w:sz w:val="24"/>
          <w:szCs w:val="24"/>
        </w:rPr>
        <w:t>2%.</w:t>
      </w:r>
    </w:p>
    <w:p w:rsidR="001E4617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6F5">
        <w:rPr>
          <w:rFonts w:ascii="Times New Roman" w:hAnsi="Times New Roman"/>
          <w:sz w:val="24"/>
          <w:szCs w:val="24"/>
        </w:rPr>
        <w:t>Индекс промышленного производства за январь-август составил 101,5% при темпе роста отгруженной продукции промпроизводства – 101,8%.</w:t>
      </w:r>
      <w:r w:rsidRPr="000657A3">
        <w:rPr>
          <w:rFonts w:ascii="Times New Roman" w:hAnsi="Times New Roman"/>
          <w:i/>
          <w:sz w:val="24"/>
          <w:szCs w:val="24"/>
        </w:rPr>
        <w:t xml:space="preserve"> </w:t>
      </w:r>
      <w:r w:rsidRPr="00871682">
        <w:rPr>
          <w:rFonts w:ascii="Times New Roman" w:hAnsi="Times New Roman"/>
          <w:sz w:val="24"/>
          <w:szCs w:val="24"/>
        </w:rPr>
        <w:t xml:space="preserve">Анализ помесячной динамики </w:t>
      </w:r>
      <w:r>
        <w:rPr>
          <w:rFonts w:ascii="Times New Roman" w:hAnsi="Times New Roman"/>
          <w:sz w:val="24"/>
          <w:szCs w:val="24"/>
        </w:rPr>
        <w:t>позволяет допустить достижение прогнозного уровня ИПП по и</w:t>
      </w:r>
      <w:r w:rsidRPr="004D075D">
        <w:rPr>
          <w:rFonts w:ascii="Times New Roman" w:hAnsi="Times New Roman"/>
          <w:sz w:val="24"/>
          <w:szCs w:val="24"/>
        </w:rPr>
        <w:t xml:space="preserve">тогам года </w:t>
      </w:r>
      <w:r>
        <w:rPr>
          <w:rFonts w:ascii="Times New Roman" w:hAnsi="Times New Roman"/>
          <w:sz w:val="24"/>
          <w:szCs w:val="24"/>
        </w:rPr>
        <w:t>не более</w:t>
      </w:r>
      <w:r w:rsidRPr="004D075D">
        <w:rPr>
          <w:rFonts w:ascii="Times New Roman" w:hAnsi="Times New Roman"/>
          <w:sz w:val="24"/>
          <w:szCs w:val="24"/>
        </w:rPr>
        <w:t xml:space="preserve"> 102,1%.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B3526">
        <w:rPr>
          <w:rFonts w:ascii="Times New Roman" w:hAnsi="Times New Roman"/>
          <w:sz w:val="24"/>
          <w:szCs w:val="24"/>
        </w:rPr>
        <w:t>Так, по итогам августа 2019 года ИПП показал минимальное значение в текущем году – 95,3%. Максимальные значения ИПП зафиксированы по итогам февраля (103,7%) и апреля (108,3%).</w:t>
      </w:r>
      <w:r w:rsidRPr="000657A3">
        <w:rPr>
          <w:rFonts w:ascii="Times New Roman" w:hAnsi="Times New Roman"/>
          <w:i/>
          <w:sz w:val="24"/>
          <w:szCs w:val="24"/>
        </w:rPr>
        <w:t xml:space="preserve"> </w:t>
      </w:r>
      <w:r w:rsidRPr="004510CD">
        <w:rPr>
          <w:rFonts w:ascii="Times New Roman" w:hAnsi="Times New Roman"/>
          <w:sz w:val="24"/>
          <w:szCs w:val="24"/>
        </w:rPr>
        <w:t xml:space="preserve">Общая картина итогов развития Томской области в 2018-2019 годах подготовлена на основе данных </w:t>
      </w:r>
      <w:r w:rsidRPr="007969EE">
        <w:rPr>
          <w:rFonts w:ascii="Times New Roman" w:hAnsi="Times New Roman"/>
          <w:sz w:val="24"/>
          <w:szCs w:val="24"/>
        </w:rPr>
        <w:t>Росстата и Томскстата</w:t>
      </w:r>
      <w:r w:rsidRPr="004510CD">
        <w:rPr>
          <w:rFonts w:ascii="Times New Roman" w:hAnsi="Times New Roman"/>
          <w:sz w:val="24"/>
          <w:szCs w:val="24"/>
        </w:rPr>
        <w:t xml:space="preserve"> и изложена в таблице.</w:t>
      </w:r>
    </w:p>
    <w:p w:rsidR="00584802" w:rsidRDefault="00584802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4802" w:rsidRDefault="00584802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4802" w:rsidRDefault="00584802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4802" w:rsidRDefault="00584802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617" w:rsidRPr="004510CD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0A0" w:firstRow="1" w:lastRow="0" w:firstColumn="1" w:lastColumn="0" w:noHBand="0" w:noVBand="0"/>
      </w:tblPr>
      <w:tblGrid>
        <w:gridCol w:w="2263"/>
        <w:gridCol w:w="1276"/>
        <w:gridCol w:w="1276"/>
        <w:gridCol w:w="1276"/>
        <w:gridCol w:w="1275"/>
        <w:gridCol w:w="993"/>
        <w:gridCol w:w="992"/>
      </w:tblGrid>
      <w:tr w:rsidR="001E4617" w:rsidRPr="00606949" w:rsidTr="003F23A5">
        <w:trPr>
          <w:trHeight w:val="43"/>
          <w:tblHeader/>
          <w:jc w:val="center"/>
        </w:trPr>
        <w:tc>
          <w:tcPr>
            <w:tcW w:w="2263" w:type="dxa"/>
            <w:vMerge w:val="restart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Наименование</w:t>
            </w:r>
          </w:p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Cs/>
                <w:i/>
                <w:sz w:val="20"/>
                <w:szCs w:val="20"/>
              </w:rPr>
              <w:t>показателя</w:t>
            </w:r>
          </w:p>
        </w:tc>
        <w:tc>
          <w:tcPr>
            <w:tcW w:w="2552" w:type="dxa"/>
            <w:gridSpan w:val="2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январь-март</w:t>
            </w:r>
          </w:p>
        </w:tc>
        <w:tc>
          <w:tcPr>
            <w:tcW w:w="2551" w:type="dxa"/>
            <w:gridSpan w:val="2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январь-июнь</w:t>
            </w:r>
          </w:p>
        </w:tc>
        <w:tc>
          <w:tcPr>
            <w:tcW w:w="1985" w:type="dxa"/>
            <w:gridSpan w:val="2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январь-август</w:t>
            </w:r>
          </w:p>
        </w:tc>
      </w:tr>
      <w:tr w:rsidR="001E4617" w:rsidRPr="00606949" w:rsidTr="003F23A5">
        <w:trPr>
          <w:trHeight w:val="43"/>
          <w:tblHeader/>
          <w:jc w:val="center"/>
        </w:trPr>
        <w:tc>
          <w:tcPr>
            <w:tcW w:w="2263" w:type="dxa"/>
            <w:vMerge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2018 год</w:t>
            </w: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9</w:t>
            </w:r>
            <w:r w:rsidRPr="000657A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2018 год</w:t>
            </w:r>
          </w:p>
        </w:tc>
        <w:tc>
          <w:tcPr>
            <w:tcW w:w="1275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9</w:t>
            </w:r>
            <w:r w:rsidRPr="000657A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2018 год</w:t>
            </w:r>
          </w:p>
        </w:tc>
        <w:tc>
          <w:tcPr>
            <w:tcW w:w="992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9</w:t>
            </w:r>
            <w:r w:rsidRPr="000657A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год</w:t>
            </w:r>
          </w:p>
        </w:tc>
      </w:tr>
      <w:tr w:rsidR="001E4617" w:rsidRPr="00606949" w:rsidTr="003F23A5">
        <w:trPr>
          <w:trHeight w:val="43"/>
          <w:jc w:val="center"/>
        </w:trPr>
        <w:tc>
          <w:tcPr>
            <w:tcW w:w="2263" w:type="dxa"/>
            <w:vMerge w:val="restart"/>
            <w:vAlign w:val="center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Промышленное производство</w:t>
            </w: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102,5</w:t>
            </w: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103,6</w:t>
            </w: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E4617" w:rsidRPr="00606949" w:rsidTr="003F23A5">
        <w:trPr>
          <w:trHeight w:val="43"/>
          <w:jc w:val="center"/>
        </w:trPr>
        <w:tc>
          <w:tcPr>
            <w:tcW w:w="2263" w:type="dxa"/>
            <w:vMerge/>
            <w:vAlign w:val="center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101,4</w:t>
            </w:r>
          </w:p>
        </w:tc>
        <w:tc>
          <w:tcPr>
            <w:tcW w:w="1275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100,7</w:t>
            </w:r>
          </w:p>
        </w:tc>
        <w:tc>
          <w:tcPr>
            <w:tcW w:w="993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E4617" w:rsidRPr="00606949" w:rsidTr="003F23A5">
        <w:trPr>
          <w:trHeight w:val="43"/>
          <w:jc w:val="center"/>
        </w:trPr>
        <w:tc>
          <w:tcPr>
            <w:tcW w:w="2263" w:type="dxa"/>
            <w:vMerge/>
            <w:vAlign w:val="center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99,9</w:t>
            </w:r>
          </w:p>
        </w:tc>
        <w:tc>
          <w:tcPr>
            <w:tcW w:w="992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101,5</w:t>
            </w:r>
          </w:p>
        </w:tc>
      </w:tr>
      <w:tr w:rsidR="001E4617" w:rsidRPr="00606949" w:rsidTr="003F23A5">
        <w:trPr>
          <w:trHeight w:val="46"/>
          <w:jc w:val="center"/>
        </w:trPr>
        <w:tc>
          <w:tcPr>
            <w:tcW w:w="2263" w:type="dxa"/>
            <w:vMerge w:val="restart"/>
            <w:vAlign w:val="center"/>
          </w:tcPr>
          <w:p w:rsidR="001E4617" w:rsidRPr="00AB329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B3298">
              <w:rPr>
                <w:rFonts w:ascii="Times New Roman" w:hAnsi="Times New Roman"/>
                <w:i/>
                <w:sz w:val="20"/>
                <w:szCs w:val="20"/>
              </w:rPr>
              <w:t xml:space="preserve">Продукция сельского хозяйства </w:t>
            </w:r>
          </w:p>
        </w:tc>
        <w:tc>
          <w:tcPr>
            <w:tcW w:w="1276" w:type="dxa"/>
          </w:tcPr>
          <w:p w:rsidR="001E4617" w:rsidRPr="00AB329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124,4</w:t>
            </w:r>
          </w:p>
        </w:tc>
        <w:tc>
          <w:tcPr>
            <w:tcW w:w="1276" w:type="dxa"/>
          </w:tcPr>
          <w:p w:rsidR="001E4617" w:rsidRPr="00AB329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97,6</w:t>
            </w:r>
          </w:p>
        </w:tc>
        <w:tc>
          <w:tcPr>
            <w:tcW w:w="1276" w:type="dxa"/>
          </w:tcPr>
          <w:p w:rsidR="001E4617" w:rsidRPr="00AB329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E4617" w:rsidRPr="00AB329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1E4617" w:rsidRPr="00AB329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E4617" w:rsidRPr="00AB329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E4617" w:rsidRPr="00606949" w:rsidTr="003F23A5">
        <w:trPr>
          <w:trHeight w:val="120"/>
          <w:jc w:val="center"/>
        </w:trPr>
        <w:tc>
          <w:tcPr>
            <w:tcW w:w="2263" w:type="dxa"/>
            <w:vMerge/>
            <w:vAlign w:val="center"/>
          </w:tcPr>
          <w:p w:rsidR="001E4617" w:rsidRPr="00AB329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AB329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AB329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AB329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112,3</w:t>
            </w:r>
          </w:p>
        </w:tc>
        <w:tc>
          <w:tcPr>
            <w:tcW w:w="1275" w:type="dxa"/>
          </w:tcPr>
          <w:p w:rsidR="001E4617" w:rsidRPr="00AB329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96,1</w:t>
            </w:r>
          </w:p>
        </w:tc>
        <w:tc>
          <w:tcPr>
            <w:tcW w:w="993" w:type="dxa"/>
          </w:tcPr>
          <w:p w:rsidR="001E4617" w:rsidRPr="00AB329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E4617" w:rsidRPr="00AB329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E4617" w:rsidRPr="00606949" w:rsidTr="003F23A5">
        <w:trPr>
          <w:trHeight w:val="43"/>
          <w:jc w:val="center"/>
        </w:trPr>
        <w:tc>
          <w:tcPr>
            <w:tcW w:w="2263" w:type="dxa"/>
            <w:vMerge/>
            <w:vAlign w:val="center"/>
          </w:tcPr>
          <w:p w:rsidR="001E4617" w:rsidRPr="00AB329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AB329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AB329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AB329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E4617" w:rsidRPr="00AB329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1E4617" w:rsidRPr="00EF0E31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EF0E31">
              <w:rPr>
                <w:rFonts w:ascii="Times New Roman" w:hAnsi="Times New Roman"/>
                <w:i/>
                <w:sz w:val="20"/>
                <w:szCs w:val="20"/>
              </w:rPr>
              <w:t>97,7</w:t>
            </w:r>
          </w:p>
        </w:tc>
        <w:tc>
          <w:tcPr>
            <w:tcW w:w="992" w:type="dxa"/>
          </w:tcPr>
          <w:p w:rsidR="001E4617" w:rsidRPr="00EF0E31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F0E31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</w:tr>
      <w:tr w:rsidR="001E4617" w:rsidRPr="00606949" w:rsidTr="003F23A5">
        <w:trPr>
          <w:trHeight w:val="100"/>
          <w:jc w:val="center"/>
        </w:trPr>
        <w:tc>
          <w:tcPr>
            <w:tcW w:w="2263" w:type="dxa"/>
            <w:vMerge w:val="restart"/>
            <w:vAlign w:val="center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Строительство</w:t>
            </w: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75,8</w:t>
            </w: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100,4</w:t>
            </w: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E4617" w:rsidRPr="00606949" w:rsidTr="003F23A5">
        <w:trPr>
          <w:trHeight w:val="43"/>
          <w:jc w:val="center"/>
        </w:trPr>
        <w:tc>
          <w:tcPr>
            <w:tcW w:w="2263" w:type="dxa"/>
            <w:vMerge/>
            <w:vAlign w:val="center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2,4</w:t>
            </w:r>
          </w:p>
        </w:tc>
        <w:tc>
          <w:tcPr>
            <w:tcW w:w="1275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116,3</w:t>
            </w:r>
          </w:p>
        </w:tc>
        <w:tc>
          <w:tcPr>
            <w:tcW w:w="993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E4617" w:rsidRPr="00606949" w:rsidTr="003F23A5">
        <w:trPr>
          <w:trHeight w:val="43"/>
          <w:jc w:val="center"/>
        </w:trPr>
        <w:tc>
          <w:tcPr>
            <w:tcW w:w="2263" w:type="dxa"/>
            <w:vMerge/>
            <w:vAlign w:val="center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79,6</w:t>
            </w:r>
          </w:p>
        </w:tc>
        <w:tc>
          <w:tcPr>
            <w:tcW w:w="992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122,3</w:t>
            </w:r>
          </w:p>
        </w:tc>
      </w:tr>
      <w:tr w:rsidR="001E4617" w:rsidRPr="00606949" w:rsidTr="003F23A5">
        <w:trPr>
          <w:trHeight w:val="255"/>
          <w:jc w:val="center"/>
        </w:trPr>
        <w:tc>
          <w:tcPr>
            <w:tcW w:w="2263" w:type="dxa"/>
            <w:vMerge w:val="restart"/>
            <w:vAlign w:val="center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103,5</w:t>
            </w: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102,9</w:t>
            </w: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E4617" w:rsidRPr="00606949" w:rsidTr="003F23A5">
        <w:trPr>
          <w:trHeight w:val="255"/>
          <w:jc w:val="center"/>
        </w:trPr>
        <w:tc>
          <w:tcPr>
            <w:tcW w:w="2263" w:type="dxa"/>
            <w:vMerge/>
            <w:vAlign w:val="center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104,4</w:t>
            </w:r>
          </w:p>
        </w:tc>
        <w:tc>
          <w:tcPr>
            <w:tcW w:w="1275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102,4</w:t>
            </w:r>
          </w:p>
        </w:tc>
        <w:tc>
          <w:tcPr>
            <w:tcW w:w="993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E4617" w:rsidRPr="00606949" w:rsidTr="003F23A5">
        <w:trPr>
          <w:trHeight w:val="255"/>
          <w:jc w:val="center"/>
        </w:trPr>
        <w:tc>
          <w:tcPr>
            <w:tcW w:w="2263" w:type="dxa"/>
            <w:vMerge/>
            <w:vAlign w:val="center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4,6</w:t>
            </w:r>
          </w:p>
        </w:tc>
        <w:tc>
          <w:tcPr>
            <w:tcW w:w="992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102,3</w:t>
            </w:r>
          </w:p>
        </w:tc>
      </w:tr>
      <w:tr w:rsidR="001E4617" w:rsidRPr="00606949" w:rsidTr="003F23A5">
        <w:trPr>
          <w:trHeight w:val="66"/>
          <w:jc w:val="center"/>
        </w:trPr>
        <w:tc>
          <w:tcPr>
            <w:tcW w:w="2263" w:type="dxa"/>
            <w:vMerge w:val="restart"/>
            <w:vAlign w:val="center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Объем платных услуг населению</w:t>
            </w: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96,0</w:t>
            </w: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105,3</w:t>
            </w: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E4617" w:rsidRPr="00606949" w:rsidTr="003F23A5">
        <w:trPr>
          <w:trHeight w:val="255"/>
          <w:jc w:val="center"/>
        </w:trPr>
        <w:tc>
          <w:tcPr>
            <w:tcW w:w="2263" w:type="dxa"/>
            <w:vMerge/>
            <w:vAlign w:val="center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101,3</w:t>
            </w:r>
          </w:p>
        </w:tc>
        <w:tc>
          <w:tcPr>
            <w:tcW w:w="1275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100,6</w:t>
            </w:r>
          </w:p>
        </w:tc>
        <w:tc>
          <w:tcPr>
            <w:tcW w:w="993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E4617" w:rsidRPr="00606949" w:rsidTr="003F23A5">
        <w:trPr>
          <w:trHeight w:val="255"/>
          <w:jc w:val="center"/>
        </w:trPr>
        <w:tc>
          <w:tcPr>
            <w:tcW w:w="2263" w:type="dxa"/>
            <w:vMerge/>
            <w:vAlign w:val="center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101,2</w:t>
            </w:r>
          </w:p>
        </w:tc>
        <w:tc>
          <w:tcPr>
            <w:tcW w:w="992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99,0</w:t>
            </w:r>
          </w:p>
        </w:tc>
      </w:tr>
      <w:tr w:rsidR="001E4617" w:rsidRPr="00606949" w:rsidTr="003F23A5">
        <w:trPr>
          <w:trHeight w:val="141"/>
          <w:jc w:val="center"/>
        </w:trPr>
        <w:tc>
          <w:tcPr>
            <w:tcW w:w="2263" w:type="dxa"/>
            <w:vMerge w:val="restart"/>
            <w:vAlign w:val="center"/>
          </w:tcPr>
          <w:p w:rsidR="001E4617" w:rsidRPr="00776FD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76FDB">
              <w:rPr>
                <w:rFonts w:ascii="Times New Roman" w:hAnsi="Times New Roman"/>
                <w:i/>
                <w:sz w:val="20"/>
                <w:szCs w:val="20"/>
              </w:rPr>
              <w:t>Индекс цен производителей промышленных товаров</w:t>
            </w:r>
          </w:p>
        </w:tc>
        <w:tc>
          <w:tcPr>
            <w:tcW w:w="1276" w:type="dxa"/>
          </w:tcPr>
          <w:p w:rsidR="001E4617" w:rsidRPr="00776FD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113,9</w:t>
            </w:r>
          </w:p>
        </w:tc>
        <w:tc>
          <w:tcPr>
            <w:tcW w:w="1276" w:type="dxa"/>
          </w:tcPr>
          <w:p w:rsidR="001E4617" w:rsidRPr="00776FD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112,5</w:t>
            </w:r>
          </w:p>
        </w:tc>
        <w:tc>
          <w:tcPr>
            <w:tcW w:w="1276" w:type="dxa"/>
          </w:tcPr>
          <w:p w:rsidR="001E4617" w:rsidRPr="00776FD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E4617" w:rsidRPr="00776FD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1E4617" w:rsidRPr="00776FD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E4617" w:rsidRPr="00776FD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E4617" w:rsidRPr="00606949" w:rsidTr="003F23A5">
        <w:trPr>
          <w:trHeight w:val="74"/>
          <w:jc w:val="center"/>
        </w:trPr>
        <w:tc>
          <w:tcPr>
            <w:tcW w:w="2263" w:type="dxa"/>
            <w:vMerge/>
            <w:vAlign w:val="center"/>
          </w:tcPr>
          <w:p w:rsidR="001E4617" w:rsidRPr="00776FD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776FD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776FD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776FD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122,7</w:t>
            </w:r>
          </w:p>
        </w:tc>
        <w:tc>
          <w:tcPr>
            <w:tcW w:w="1275" w:type="dxa"/>
          </w:tcPr>
          <w:p w:rsidR="001E4617" w:rsidRPr="00776FD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103,3</w:t>
            </w:r>
          </w:p>
        </w:tc>
        <w:tc>
          <w:tcPr>
            <w:tcW w:w="993" w:type="dxa"/>
          </w:tcPr>
          <w:p w:rsidR="001E4617" w:rsidRPr="00776FD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E4617" w:rsidRPr="00776FD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E4617" w:rsidRPr="00606949" w:rsidTr="003F23A5">
        <w:trPr>
          <w:trHeight w:val="43"/>
          <w:jc w:val="center"/>
        </w:trPr>
        <w:tc>
          <w:tcPr>
            <w:tcW w:w="2263" w:type="dxa"/>
            <w:vMerge/>
            <w:vAlign w:val="center"/>
          </w:tcPr>
          <w:p w:rsidR="001E4617" w:rsidRPr="00776FD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776FD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776FD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776FD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E4617" w:rsidRPr="00776FD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1E4617" w:rsidRPr="00776FD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776FDB">
              <w:rPr>
                <w:rFonts w:ascii="Times New Roman" w:hAnsi="Times New Roman"/>
                <w:i/>
                <w:sz w:val="20"/>
                <w:szCs w:val="20"/>
              </w:rPr>
              <w:t>122,7</w:t>
            </w:r>
          </w:p>
        </w:tc>
        <w:tc>
          <w:tcPr>
            <w:tcW w:w="992" w:type="dxa"/>
          </w:tcPr>
          <w:p w:rsidR="001E4617" w:rsidRPr="00776FD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776FDB">
              <w:rPr>
                <w:rFonts w:ascii="Times New Roman" w:hAnsi="Times New Roman"/>
                <w:i/>
                <w:sz w:val="20"/>
                <w:szCs w:val="20"/>
              </w:rPr>
              <w:t>105,0</w:t>
            </w:r>
          </w:p>
        </w:tc>
      </w:tr>
      <w:tr w:rsidR="001E4617" w:rsidRPr="00606949" w:rsidTr="003F23A5">
        <w:trPr>
          <w:trHeight w:val="204"/>
          <w:jc w:val="center"/>
        </w:trPr>
        <w:tc>
          <w:tcPr>
            <w:tcW w:w="2263" w:type="dxa"/>
            <w:vMerge w:val="restart"/>
            <w:vAlign w:val="center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Индекс потребительских цен</w:t>
            </w: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100,5</w:t>
            </w: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102,2</w:t>
            </w: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E4617" w:rsidRPr="00606949" w:rsidTr="003F23A5">
        <w:trPr>
          <w:trHeight w:val="43"/>
          <w:jc w:val="center"/>
        </w:trPr>
        <w:tc>
          <w:tcPr>
            <w:tcW w:w="2263" w:type="dxa"/>
            <w:vMerge/>
            <w:vAlign w:val="center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101,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102,7</w:t>
            </w:r>
          </w:p>
        </w:tc>
        <w:tc>
          <w:tcPr>
            <w:tcW w:w="993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E4617" w:rsidRPr="00606949" w:rsidTr="003F23A5">
        <w:trPr>
          <w:trHeight w:val="68"/>
          <w:jc w:val="center"/>
        </w:trPr>
        <w:tc>
          <w:tcPr>
            <w:tcW w:w="2263" w:type="dxa"/>
            <w:vMerge/>
            <w:vAlign w:val="center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102,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102,7</w:t>
            </w:r>
          </w:p>
        </w:tc>
      </w:tr>
      <w:tr w:rsidR="001E4617" w:rsidRPr="00606949" w:rsidTr="003F23A5">
        <w:trPr>
          <w:trHeight w:val="68"/>
          <w:jc w:val="center"/>
        </w:trPr>
        <w:tc>
          <w:tcPr>
            <w:tcW w:w="2263" w:type="dxa"/>
            <w:vMerge w:val="restart"/>
            <w:vAlign w:val="center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Объем оптовой торговли</w:t>
            </w: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81,5</w:t>
            </w: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75,6</w:t>
            </w: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E4617" w:rsidRPr="00606949" w:rsidTr="003F23A5">
        <w:trPr>
          <w:trHeight w:val="68"/>
          <w:jc w:val="center"/>
        </w:trPr>
        <w:tc>
          <w:tcPr>
            <w:tcW w:w="2263" w:type="dxa"/>
            <w:vMerge/>
            <w:vAlign w:val="center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80,6</w:t>
            </w:r>
          </w:p>
        </w:tc>
        <w:tc>
          <w:tcPr>
            <w:tcW w:w="1275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77,1</w:t>
            </w:r>
          </w:p>
        </w:tc>
        <w:tc>
          <w:tcPr>
            <w:tcW w:w="993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E4617" w:rsidRPr="00606949" w:rsidTr="003F23A5">
        <w:trPr>
          <w:trHeight w:val="68"/>
          <w:jc w:val="center"/>
        </w:trPr>
        <w:tc>
          <w:tcPr>
            <w:tcW w:w="2263" w:type="dxa"/>
            <w:vMerge/>
            <w:vAlign w:val="center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81,1</w:t>
            </w:r>
          </w:p>
        </w:tc>
        <w:tc>
          <w:tcPr>
            <w:tcW w:w="992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78,7</w:t>
            </w:r>
          </w:p>
        </w:tc>
      </w:tr>
      <w:tr w:rsidR="001E4617" w:rsidRPr="00606949" w:rsidTr="003F23A5">
        <w:trPr>
          <w:trHeight w:val="68"/>
          <w:jc w:val="center"/>
        </w:trPr>
        <w:tc>
          <w:tcPr>
            <w:tcW w:w="2263" w:type="dxa"/>
            <w:vMerge w:val="restart"/>
            <w:vAlign w:val="center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78,4</w:t>
            </w: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113,4</w:t>
            </w: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E4617" w:rsidRPr="00606949" w:rsidTr="003F23A5">
        <w:trPr>
          <w:trHeight w:val="68"/>
          <w:jc w:val="center"/>
        </w:trPr>
        <w:tc>
          <w:tcPr>
            <w:tcW w:w="2263" w:type="dxa"/>
            <w:vMerge/>
            <w:vAlign w:val="center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87,2</w:t>
            </w:r>
          </w:p>
        </w:tc>
        <w:tc>
          <w:tcPr>
            <w:tcW w:w="1275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91,1</w:t>
            </w:r>
          </w:p>
        </w:tc>
        <w:tc>
          <w:tcPr>
            <w:tcW w:w="993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E4617" w:rsidRPr="00606949" w:rsidTr="003F23A5">
        <w:trPr>
          <w:trHeight w:val="68"/>
          <w:jc w:val="center"/>
        </w:trPr>
        <w:tc>
          <w:tcPr>
            <w:tcW w:w="2263" w:type="dxa"/>
            <w:vMerge/>
            <w:vAlign w:val="center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</w:tr>
      <w:tr w:rsidR="001E4617" w:rsidRPr="00606949" w:rsidTr="003F23A5">
        <w:trPr>
          <w:trHeight w:val="68"/>
          <w:jc w:val="center"/>
        </w:trPr>
        <w:tc>
          <w:tcPr>
            <w:tcW w:w="2263" w:type="dxa"/>
            <w:vMerge w:val="restart"/>
            <w:vAlign w:val="center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C13A8">
              <w:rPr>
                <w:rFonts w:ascii="Times New Roman" w:hAnsi="Times New Roman"/>
                <w:i/>
                <w:sz w:val="20"/>
                <w:szCs w:val="20"/>
              </w:rPr>
              <w:t>Индекс цен на грузовые перевозки</w:t>
            </w:r>
          </w:p>
        </w:tc>
        <w:tc>
          <w:tcPr>
            <w:tcW w:w="1276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C13A8">
              <w:rPr>
                <w:rFonts w:ascii="Times New Roman" w:hAnsi="Times New Roman"/>
                <w:i/>
                <w:sz w:val="20"/>
                <w:szCs w:val="20"/>
              </w:rPr>
              <w:t>83,5</w:t>
            </w:r>
          </w:p>
        </w:tc>
        <w:tc>
          <w:tcPr>
            <w:tcW w:w="1276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92,6</w:t>
            </w:r>
          </w:p>
        </w:tc>
        <w:tc>
          <w:tcPr>
            <w:tcW w:w="1276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E4617" w:rsidRPr="00606949" w:rsidTr="003F23A5">
        <w:trPr>
          <w:trHeight w:val="68"/>
          <w:jc w:val="center"/>
        </w:trPr>
        <w:tc>
          <w:tcPr>
            <w:tcW w:w="2263" w:type="dxa"/>
            <w:vMerge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C13A8">
              <w:rPr>
                <w:rFonts w:ascii="Times New Roman" w:hAnsi="Times New Roman"/>
                <w:i/>
                <w:sz w:val="20"/>
                <w:szCs w:val="20"/>
              </w:rPr>
              <w:t>146,3</w:t>
            </w:r>
          </w:p>
        </w:tc>
        <w:tc>
          <w:tcPr>
            <w:tcW w:w="1275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153,8</w:t>
            </w:r>
          </w:p>
        </w:tc>
        <w:tc>
          <w:tcPr>
            <w:tcW w:w="993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E4617" w:rsidRPr="00606949" w:rsidTr="003F23A5">
        <w:trPr>
          <w:trHeight w:val="68"/>
          <w:jc w:val="center"/>
        </w:trPr>
        <w:tc>
          <w:tcPr>
            <w:tcW w:w="2263" w:type="dxa"/>
            <w:vMerge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C13A8">
              <w:rPr>
                <w:rFonts w:ascii="Times New Roman" w:hAnsi="Times New Roman"/>
                <w:i/>
                <w:sz w:val="20"/>
                <w:szCs w:val="20"/>
              </w:rPr>
              <w:t>109,1</w:t>
            </w:r>
          </w:p>
        </w:tc>
        <w:tc>
          <w:tcPr>
            <w:tcW w:w="992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102,7</w:t>
            </w:r>
          </w:p>
        </w:tc>
      </w:tr>
      <w:tr w:rsidR="001E4617" w:rsidRPr="00606949" w:rsidTr="003F23A5">
        <w:trPr>
          <w:trHeight w:val="68"/>
          <w:jc w:val="center"/>
        </w:trPr>
        <w:tc>
          <w:tcPr>
            <w:tcW w:w="2263" w:type="dxa"/>
            <w:vAlign w:val="center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C13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январь-март</w:t>
            </w:r>
          </w:p>
        </w:tc>
        <w:tc>
          <w:tcPr>
            <w:tcW w:w="2551" w:type="dxa"/>
            <w:gridSpan w:val="2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C13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январь-июнь</w:t>
            </w:r>
          </w:p>
        </w:tc>
        <w:tc>
          <w:tcPr>
            <w:tcW w:w="1985" w:type="dxa"/>
            <w:gridSpan w:val="2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C13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январь-июль</w:t>
            </w:r>
          </w:p>
        </w:tc>
      </w:tr>
      <w:tr w:rsidR="001E4617" w:rsidRPr="00606949" w:rsidTr="003F23A5">
        <w:trPr>
          <w:trHeight w:val="68"/>
          <w:jc w:val="center"/>
        </w:trPr>
        <w:tc>
          <w:tcPr>
            <w:tcW w:w="2263" w:type="dxa"/>
            <w:vMerge w:val="restart"/>
            <w:vAlign w:val="center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C13A8">
              <w:rPr>
                <w:rFonts w:ascii="Times New Roman" w:hAnsi="Times New Roman"/>
                <w:i/>
                <w:sz w:val="20"/>
                <w:szCs w:val="20"/>
              </w:rPr>
              <w:t>Сальдированный финансовый результат деятельности организаций</w:t>
            </w:r>
          </w:p>
        </w:tc>
        <w:tc>
          <w:tcPr>
            <w:tcW w:w="1276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C13A8">
              <w:rPr>
                <w:rFonts w:ascii="Times New Roman" w:hAnsi="Times New Roman"/>
                <w:i/>
                <w:sz w:val="20"/>
                <w:szCs w:val="20"/>
              </w:rPr>
              <w:t>91,4</w:t>
            </w:r>
          </w:p>
        </w:tc>
        <w:tc>
          <w:tcPr>
            <w:tcW w:w="1276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113,5</w:t>
            </w:r>
          </w:p>
        </w:tc>
        <w:tc>
          <w:tcPr>
            <w:tcW w:w="1276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E4617" w:rsidRPr="00606949" w:rsidTr="003F23A5">
        <w:trPr>
          <w:trHeight w:val="68"/>
          <w:jc w:val="center"/>
        </w:trPr>
        <w:tc>
          <w:tcPr>
            <w:tcW w:w="2263" w:type="dxa"/>
            <w:vMerge/>
            <w:vAlign w:val="center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C13A8">
              <w:rPr>
                <w:rFonts w:ascii="Times New Roman" w:hAnsi="Times New Roman"/>
                <w:i/>
                <w:sz w:val="20"/>
                <w:szCs w:val="20"/>
              </w:rPr>
              <w:t>105,3</w:t>
            </w:r>
          </w:p>
        </w:tc>
        <w:tc>
          <w:tcPr>
            <w:tcW w:w="1275" w:type="dxa"/>
          </w:tcPr>
          <w:p w:rsidR="001E4617" w:rsidRPr="00B60EC5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125,2</w:t>
            </w:r>
          </w:p>
        </w:tc>
        <w:tc>
          <w:tcPr>
            <w:tcW w:w="993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E4617" w:rsidRPr="00606949" w:rsidTr="003F23A5">
        <w:trPr>
          <w:trHeight w:val="68"/>
          <w:jc w:val="center"/>
        </w:trPr>
        <w:tc>
          <w:tcPr>
            <w:tcW w:w="2263" w:type="dxa"/>
            <w:vMerge/>
            <w:vAlign w:val="center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CC13A8">
              <w:rPr>
                <w:rFonts w:ascii="Times New Roman" w:hAnsi="Times New Roman"/>
                <w:i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3,6</w:t>
            </w:r>
          </w:p>
        </w:tc>
        <w:tc>
          <w:tcPr>
            <w:tcW w:w="992" w:type="dxa"/>
          </w:tcPr>
          <w:p w:rsidR="001E4617" w:rsidRPr="00CC13A8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113,0</w:t>
            </w:r>
          </w:p>
        </w:tc>
      </w:tr>
    </w:tbl>
    <w:p w:rsidR="001E4617" w:rsidRPr="000657A3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E4617" w:rsidRPr="008D4A7B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68AB">
        <w:rPr>
          <w:rFonts w:ascii="Times New Roman" w:hAnsi="Times New Roman"/>
          <w:color w:val="000000"/>
          <w:sz w:val="24"/>
          <w:szCs w:val="24"/>
        </w:rPr>
        <w:t xml:space="preserve">Позитивную динамику продемонстрировали все наблюдаемые сферы </w:t>
      </w:r>
      <w:r w:rsidRPr="007B2D08">
        <w:rPr>
          <w:rFonts w:ascii="Times New Roman" w:hAnsi="Times New Roman"/>
          <w:b/>
          <w:color w:val="000000"/>
          <w:sz w:val="24"/>
          <w:szCs w:val="24"/>
        </w:rPr>
        <w:t>промышленного производства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CD68AB">
        <w:rPr>
          <w:rFonts w:ascii="Times New Roman" w:hAnsi="Times New Roman"/>
          <w:color w:val="000000"/>
          <w:sz w:val="24"/>
          <w:szCs w:val="24"/>
        </w:rPr>
        <w:t>С</w:t>
      </w:r>
      <w:r w:rsidRPr="007B2D08">
        <w:rPr>
          <w:rFonts w:ascii="Times New Roman" w:hAnsi="Times New Roman"/>
          <w:color w:val="000000"/>
          <w:sz w:val="24"/>
          <w:szCs w:val="24"/>
        </w:rPr>
        <w:t xml:space="preserve">ущественное влияние </w:t>
      </w:r>
      <w:r w:rsidRPr="008D4A7B">
        <w:rPr>
          <w:rFonts w:ascii="Times New Roman" w:hAnsi="Times New Roman"/>
          <w:sz w:val="24"/>
          <w:szCs w:val="24"/>
        </w:rPr>
        <w:t>на ИПП региона оказал</w:t>
      </w:r>
      <w:r>
        <w:rPr>
          <w:rFonts w:ascii="Times New Roman" w:hAnsi="Times New Roman"/>
          <w:sz w:val="24"/>
          <w:szCs w:val="24"/>
        </w:rPr>
        <w:t xml:space="preserve"> стабильный рост</w:t>
      </w:r>
      <w:r w:rsidRPr="008D4A7B">
        <w:rPr>
          <w:rFonts w:ascii="Times New Roman" w:hAnsi="Times New Roman"/>
          <w:sz w:val="24"/>
          <w:szCs w:val="24"/>
        </w:rPr>
        <w:t xml:space="preserve"> обрабатывающих производств. Так, за 8 месяцев текущего года темпы роста в обрабатывающих производствах составили 105,7%, что выше темпов роста за аналогичный период прошлого года на 0,2 п.п.</w:t>
      </w:r>
    </w:p>
    <w:p w:rsidR="001E4617" w:rsidRPr="000657A3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55ED">
        <w:rPr>
          <w:rFonts w:ascii="Times New Roman" w:hAnsi="Times New Roman"/>
          <w:sz w:val="24"/>
          <w:szCs w:val="24"/>
        </w:rPr>
        <w:t xml:space="preserve">Большинство отраслей, имеющих наибольшую долю в объеме обрабатывающих производств, по итогам 8 месяцев демонстрируют темп роста выше уровня предыдущего года. </w:t>
      </w:r>
      <w:r w:rsidRPr="00B24BE5">
        <w:rPr>
          <w:rFonts w:ascii="Times New Roman" w:hAnsi="Times New Roman"/>
          <w:sz w:val="24"/>
          <w:szCs w:val="24"/>
        </w:rPr>
        <w:t>Положительная динамика позволяет прогнозировать результаты по итогам года на уровне 105,2%.</w:t>
      </w:r>
      <w:r w:rsidRPr="000657A3">
        <w:rPr>
          <w:rFonts w:ascii="Times New Roman" w:hAnsi="Times New Roman"/>
          <w:i/>
          <w:sz w:val="24"/>
          <w:szCs w:val="24"/>
        </w:rPr>
        <w:t xml:space="preserve"> </w:t>
      </w:r>
    </w:p>
    <w:p w:rsidR="001E4617" w:rsidRPr="000657A3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4D3A">
        <w:rPr>
          <w:rFonts w:ascii="Times New Roman" w:hAnsi="Times New Roman"/>
          <w:sz w:val="24"/>
          <w:szCs w:val="24"/>
        </w:rPr>
        <w:t xml:space="preserve">Наиболее динамичное развитие отмечено в отраслях: «производство машин и оборудования, не включенных в другие группировки» - </w:t>
      </w:r>
      <w:r>
        <w:rPr>
          <w:rFonts w:ascii="Times New Roman" w:hAnsi="Times New Roman"/>
          <w:sz w:val="24"/>
          <w:szCs w:val="24"/>
        </w:rPr>
        <w:t>1</w:t>
      </w:r>
      <w:r w:rsidRPr="00DE4D3A">
        <w:rPr>
          <w:rFonts w:ascii="Times New Roman" w:hAnsi="Times New Roman"/>
          <w:sz w:val="24"/>
          <w:szCs w:val="24"/>
        </w:rPr>
        <w:t xml:space="preserve">69,9%, «производство текстильных изделий» - </w:t>
      </w:r>
      <w:r>
        <w:rPr>
          <w:rFonts w:ascii="Times New Roman" w:hAnsi="Times New Roman"/>
          <w:sz w:val="24"/>
          <w:szCs w:val="24"/>
        </w:rPr>
        <w:t>1</w:t>
      </w:r>
      <w:r w:rsidRPr="00DE4D3A">
        <w:rPr>
          <w:rFonts w:ascii="Times New Roman" w:hAnsi="Times New Roman"/>
          <w:sz w:val="24"/>
          <w:szCs w:val="24"/>
        </w:rPr>
        <w:t xml:space="preserve">60,2%, «производство прочих транспортных средств и оборудования» - </w:t>
      </w:r>
      <w:r>
        <w:rPr>
          <w:rFonts w:ascii="Times New Roman" w:hAnsi="Times New Roman"/>
          <w:sz w:val="24"/>
          <w:szCs w:val="24"/>
        </w:rPr>
        <w:t>1</w:t>
      </w:r>
      <w:r w:rsidRPr="00DE4D3A">
        <w:rPr>
          <w:rFonts w:ascii="Times New Roman" w:hAnsi="Times New Roman"/>
          <w:sz w:val="24"/>
          <w:szCs w:val="24"/>
        </w:rPr>
        <w:t xml:space="preserve">50,3%, «производство прочих готовых изделий» - </w:t>
      </w:r>
      <w:r>
        <w:rPr>
          <w:rFonts w:ascii="Times New Roman" w:hAnsi="Times New Roman"/>
          <w:sz w:val="24"/>
          <w:szCs w:val="24"/>
        </w:rPr>
        <w:t>1</w:t>
      </w:r>
      <w:r w:rsidRPr="00DE4D3A">
        <w:rPr>
          <w:rFonts w:ascii="Times New Roman" w:hAnsi="Times New Roman"/>
          <w:sz w:val="24"/>
          <w:szCs w:val="24"/>
        </w:rPr>
        <w:t>47,7%</w:t>
      </w:r>
      <w:r w:rsidRPr="000657A3">
        <w:rPr>
          <w:rFonts w:ascii="Times New Roman" w:hAnsi="Times New Roman"/>
          <w:i/>
          <w:sz w:val="24"/>
          <w:szCs w:val="24"/>
        </w:rPr>
        <w:t xml:space="preserve"> </w:t>
      </w:r>
      <w:r w:rsidRPr="001D78C8">
        <w:rPr>
          <w:rFonts w:ascii="Times New Roman" w:hAnsi="Times New Roman"/>
          <w:sz w:val="24"/>
          <w:szCs w:val="24"/>
        </w:rPr>
        <w:t>«производство готовых металлических изделий, кроме машин и оборудования» - 144,2%, , «производство резиновых и пластмассовых изделий» - 130,8%, «производство одежды» - 124,7% и «деятельность полиграфическая и копирование носителей информации» - 117,7%.</w:t>
      </w:r>
      <w:r w:rsidRPr="000657A3">
        <w:rPr>
          <w:rFonts w:ascii="Times New Roman" w:hAnsi="Times New Roman"/>
          <w:i/>
          <w:sz w:val="24"/>
          <w:szCs w:val="24"/>
        </w:rPr>
        <w:t xml:space="preserve"> </w:t>
      </w:r>
    </w:p>
    <w:p w:rsidR="001E4617" w:rsidRPr="00B100B1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Положительную динамику </w:t>
      </w:r>
      <w:r w:rsidRPr="007B2D08">
        <w:rPr>
          <w:rFonts w:ascii="Times New Roman" w:hAnsi="Times New Roman"/>
          <w:color w:val="000000"/>
          <w:sz w:val="24"/>
          <w:szCs w:val="24"/>
        </w:rPr>
        <w:t>по виду экономической деятельности «добыча полезных ископаемых»</w:t>
      </w:r>
      <w:r>
        <w:rPr>
          <w:rFonts w:ascii="Times New Roman" w:hAnsi="Times New Roman"/>
          <w:color w:val="000000"/>
          <w:sz w:val="24"/>
          <w:szCs w:val="24"/>
        </w:rPr>
        <w:t xml:space="preserve"> демонстрируют добыча прочих полезных ископаемых и предоставление</w:t>
      </w:r>
      <w:r w:rsidRPr="00CD68AB">
        <w:rPr>
          <w:rFonts w:ascii="Times New Roman" w:hAnsi="Times New Roman"/>
          <w:color w:val="000000"/>
          <w:sz w:val="24"/>
          <w:szCs w:val="24"/>
        </w:rPr>
        <w:t xml:space="preserve"> услуг в области добычи полезных ископаемых</w:t>
      </w:r>
      <w:r w:rsidRPr="007B2D08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но </w:t>
      </w:r>
      <w:r w:rsidRPr="006242A0">
        <w:rPr>
          <w:rFonts w:ascii="Times New Roman" w:hAnsi="Times New Roman"/>
          <w:color w:val="000000"/>
          <w:sz w:val="24"/>
          <w:szCs w:val="24"/>
        </w:rPr>
        <w:t>существенный вклад в экономику Томской</w:t>
      </w:r>
      <w:r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Pr="006242A0">
        <w:rPr>
          <w:rFonts w:ascii="Times New Roman" w:hAnsi="Times New Roman"/>
          <w:color w:val="000000"/>
          <w:sz w:val="24"/>
          <w:szCs w:val="24"/>
        </w:rPr>
        <w:t>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42A0">
        <w:rPr>
          <w:rFonts w:ascii="Times New Roman" w:hAnsi="Times New Roman"/>
          <w:color w:val="000000"/>
          <w:sz w:val="24"/>
          <w:szCs w:val="24"/>
        </w:rPr>
        <w:lastRenderedPageBreak/>
        <w:t>вносит</w:t>
      </w:r>
      <w:r>
        <w:rPr>
          <w:rFonts w:ascii="Times New Roman" w:hAnsi="Times New Roman"/>
          <w:color w:val="000000"/>
          <w:sz w:val="24"/>
          <w:szCs w:val="24"/>
        </w:rPr>
        <w:t xml:space="preserve"> добыча сырой </w:t>
      </w:r>
      <w:r w:rsidRPr="006242A0">
        <w:rPr>
          <w:rFonts w:ascii="Times New Roman" w:hAnsi="Times New Roman"/>
          <w:color w:val="000000"/>
          <w:sz w:val="24"/>
          <w:szCs w:val="24"/>
        </w:rPr>
        <w:t>нефти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6242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4599">
        <w:rPr>
          <w:rFonts w:ascii="Times New Roman" w:hAnsi="Times New Roman"/>
          <w:sz w:val="24"/>
          <w:szCs w:val="24"/>
        </w:rPr>
        <w:t>включая газовый конденсат</w:t>
      </w:r>
      <w:r>
        <w:rPr>
          <w:rFonts w:ascii="Times New Roman" w:hAnsi="Times New Roman"/>
          <w:color w:val="000000"/>
          <w:sz w:val="24"/>
          <w:szCs w:val="24"/>
        </w:rPr>
        <w:t>, которая с 2013 года имеет тенденцию к сокращению</w:t>
      </w:r>
      <w:r>
        <w:rPr>
          <w:rFonts w:ascii="Times New Roman" w:hAnsi="Times New Roman"/>
          <w:sz w:val="24"/>
          <w:szCs w:val="24"/>
        </w:rPr>
        <w:t xml:space="preserve"> в связи с</w:t>
      </w:r>
      <w:r w:rsidRPr="00AA45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величением </w:t>
      </w:r>
      <w:r w:rsidRPr="00AA4599">
        <w:rPr>
          <w:rFonts w:ascii="Times New Roman" w:hAnsi="Times New Roman"/>
          <w:color w:val="000000"/>
          <w:sz w:val="24"/>
          <w:szCs w:val="24"/>
        </w:rPr>
        <w:t xml:space="preserve">доли трудноизвлекаемых запасов </w:t>
      </w:r>
      <w:r>
        <w:rPr>
          <w:rFonts w:ascii="Times New Roman" w:hAnsi="Times New Roman"/>
          <w:color w:val="000000"/>
          <w:sz w:val="24"/>
          <w:szCs w:val="24"/>
        </w:rPr>
        <w:t>и ухудшением</w:t>
      </w:r>
      <w:r w:rsidRPr="00AA4599">
        <w:rPr>
          <w:rFonts w:ascii="Times New Roman" w:hAnsi="Times New Roman"/>
          <w:color w:val="000000"/>
          <w:sz w:val="24"/>
          <w:szCs w:val="24"/>
        </w:rPr>
        <w:t xml:space="preserve"> структуры остаточных запасов</w:t>
      </w:r>
      <w:r>
        <w:rPr>
          <w:rFonts w:ascii="Times New Roman" w:hAnsi="Times New Roman"/>
          <w:color w:val="000000"/>
          <w:sz w:val="24"/>
          <w:szCs w:val="24"/>
        </w:rPr>
        <w:t xml:space="preserve">. Темп роста </w:t>
      </w:r>
      <w:r w:rsidRPr="007B2D08">
        <w:rPr>
          <w:rFonts w:ascii="Times New Roman" w:hAnsi="Times New Roman"/>
          <w:color w:val="000000"/>
          <w:sz w:val="24"/>
          <w:szCs w:val="24"/>
        </w:rPr>
        <w:t>за 8 месяцев текущего года составил 96,8% при темпе роста отгруженной продукции – 99,4%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657A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1E4617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D90">
        <w:rPr>
          <w:rFonts w:ascii="Times New Roman" w:hAnsi="Times New Roman"/>
          <w:color w:val="000000"/>
          <w:sz w:val="24"/>
          <w:szCs w:val="24"/>
        </w:rPr>
        <w:t>П</w:t>
      </w:r>
      <w:r w:rsidRPr="00B86D90">
        <w:rPr>
          <w:rFonts w:ascii="Times New Roman" w:hAnsi="Times New Roman"/>
          <w:sz w:val="24"/>
          <w:szCs w:val="24"/>
        </w:rPr>
        <w:t xml:space="preserve">о итогам 8 месяцев 2019 года наблюдается снижение темпов роста по виду экономической деятельности </w:t>
      </w:r>
      <w:r w:rsidRPr="009943FD">
        <w:rPr>
          <w:rFonts w:ascii="Times New Roman" w:hAnsi="Times New Roman"/>
          <w:sz w:val="24"/>
          <w:szCs w:val="24"/>
        </w:rPr>
        <w:t>«водоснабжение; водоотведение, организация сбора и утилизации отходов, деятельность по ликвидации загрязнений» в текущем году снизился до 97,8%, что на 9,9 п.п. ниже темпов роста за аналогичный период прошлого года.</w:t>
      </w:r>
    </w:p>
    <w:p w:rsidR="001E4617" w:rsidRPr="00D74F60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43FD">
        <w:rPr>
          <w:rFonts w:ascii="Times New Roman" w:hAnsi="Times New Roman"/>
          <w:sz w:val="24"/>
          <w:szCs w:val="24"/>
        </w:rPr>
        <w:t xml:space="preserve">Темп роста по виду </w:t>
      </w:r>
      <w:r w:rsidRPr="00B86D90">
        <w:rPr>
          <w:rFonts w:ascii="Times New Roman" w:hAnsi="Times New Roman"/>
          <w:sz w:val="24"/>
          <w:szCs w:val="24"/>
        </w:rPr>
        <w:t xml:space="preserve">«обеспечение электрической энергией, газом и паром; кондиционирование воздуха» </w:t>
      </w:r>
      <w:r>
        <w:rPr>
          <w:rFonts w:ascii="Times New Roman" w:hAnsi="Times New Roman"/>
          <w:sz w:val="24"/>
          <w:szCs w:val="24"/>
        </w:rPr>
        <w:t>-</w:t>
      </w:r>
      <w:r w:rsidRPr="00B86D90">
        <w:rPr>
          <w:rFonts w:ascii="Times New Roman" w:hAnsi="Times New Roman"/>
          <w:sz w:val="24"/>
          <w:szCs w:val="24"/>
        </w:rPr>
        <w:t xml:space="preserve"> 95,2%, что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4FA">
        <w:rPr>
          <w:rFonts w:ascii="Times New Roman" w:hAnsi="Times New Roman"/>
          <w:sz w:val="24"/>
          <w:szCs w:val="24"/>
        </w:rPr>
        <w:t>8,3 п.п.</w:t>
      </w:r>
      <w:r w:rsidRPr="00B86D90">
        <w:rPr>
          <w:rFonts w:ascii="Times New Roman" w:hAnsi="Times New Roman"/>
          <w:sz w:val="24"/>
          <w:szCs w:val="24"/>
        </w:rPr>
        <w:t xml:space="preserve"> меньше показателя за аналогичный период 2018 года, при этом темп роста </w:t>
      </w:r>
      <w:r>
        <w:rPr>
          <w:rFonts w:ascii="Times New Roman" w:hAnsi="Times New Roman"/>
          <w:sz w:val="24"/>
          <w:szCs w:val="24"/>
        </w:rPr>
        <w:t>отгруженной продукции составил 99,2</w:t>
      </w:r>
      <w:r w:rsidRPr="00B86D90">
        <w:rPr>
          <w:rFonts w:ascii="Times New Roman" w:hAnsi="Times New Roman"/>
          <w:sz w:val="24"/>
          <w:szCs w:val="24"/>
        </w:rPr>
        <w:t>%.</w:t>
      </w:r>
      <w:r w:rsidRPr="000657A3">
        <w:rPr>
          <w:rFonts w:ascii="Times New Roman" w:hAnsi="Times New Roman"/>
          <w:i/>
          <w:sz w:val="24"/>
          <w:szCs w:val="24"/>
        </w:rPr>
        <w:t xml:space="preserve"> </w:t>
      </w:r>
      <w:r w:rsidRPr="005F54FA">
        <w:rPr>
          <w:rFonts w:ascii="Times New Roman" w:hAnsi="Times New Roman"/>
          <w:sz w:val="24"/>
          <w:szCs w:val="24"/>
        </w:rPr>
        <w:t>Снижение обусловлено уменьшением объемов выработки электроэнергии на 0,1%, а также пара и горячей воды на 3,2 % к аналогичному периоду прошлого года.</w:t>
      </w:r>
    </w:p>
    <w:p w:rsidR="001E4617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04642">
        <w:rPr>
          <w:rFonts w:ascii="Times New Roman" w:hAnsi="Times New Roman"/>
          <w:sz w:val="24"/>
          <w:szCs w:val="24"/>
        </w:rPr>
        <w:t>рогнозируемы</w:t>
      </w:r>
      <w:r>
        <w:rPr>
          <w:rFonts w:ascii="Times New Roman" w:hAnsi="Times New Roman"/>
          <w:sz w:val="24"/>
          <w:szCs w:val="24"/>
        </w:rPr>
        <w:t>й</w:t>
      </w:r>
      <w:r w:rsidRPr="00D04642">
        <w:rPr>
          <w:rFonts w:ascii="Times New Roman" w:hAnsi="Times New Roman"/>
          <w:sz w:val="24"/>
          <w:szCs w:val="24"/>
        </w:rPr>
        <w:t xml:space="preserve"> Админи</w:t>
      </w:r>
      <w:r>
        <w:rPr>
          <w:rFonts w:ascii="Times New Roman" w:hAnsi="Times New Roman"/>
          <w:sz w:val="24"/>
          <w:szCs w:val="24"/>
        </w:rPr>
        <w:t xml:space="preserve">страцией темп роста продукции </w:t>
      </w:r>
      <w:r w:rsidRPr="00D04642">
        <w:rPr>
          <w:rFonts w:ascii="Times New Roman" w:hAnsi="Times New Roman"/>
          <w:b/>
          <w:sz w:val="24"/>
          <w:szCs w:val="24"/>
        </w:rPr>
        <w:t>сельского хозяйства</w:t>
      </w:r>
      <w:r>
        <w:rPr>
          <w:rFonts w:ascii="Times New Roman" w:hAnsi="Times New Roman"/>
          <w:sz w:val="24"/>
          <w:szCs w:val="24"/>
        </w:rPr>
        <w:t xml:space="preserve"> на 2019</w:t>
      </w:r>
      <w:r w:rsidRPr="00D04642">
        <w:rPr>
          <w:rFonts w:ascii="Times New Roman" w:hAnsi="Times New Roman"/>
          <w:sz w:val="24"/>
          <w:szCs w:val="24"/>
        </w:rPr>
        <w:t xml:space="preserve"> год в размере 10</w:t>
      </w:r>
      <w:r>
        <w:rPr>
          <w:rFonts w:ascii="Times New Roman" w:hAnsi="Times New Roman"/>
          <w:sz w:val="24"/>
          <w:szCs w:val="24"/>
        </w:rPr>
        <w:t>5,9</w:t>
      </w:r>
      <w:r w:rsidRPr="00D04642">
        <w:rPr>
          <w:rFonts w:ascii="Times New Roman" w:hAnsi="Times New Roman"/>
          <w:sz w:val="24"/>
          <w:szCs w:val="24"/>
        </w:rPr>
        <w:t xml:space="preserve">% не оправдал ожидания и по итогам шести месяцев оценка была скорректирована до </w:t>
      </w:r>
      <w:r>
        <w:rPr>
          <w:rFonts w:ascii="Times New Roman" w:hAnsi="Times New Roman"/>
          <w:sz w:val="24"/>
          <w:szCs w:val="24"/>
        </w:rPr>
        <w:t>102,2%.</w:t>
      </w:r>
      <w:r w:rsidRPr="00D04642">
        <w:rPr>
          <w:rFonts w:ascii="Times New Roman" w:hAnsi="Times New Roman"/>
          <w:sz w:val="24"/>
          <w:szCs w:val="24"/>
        </w:rPr>
        <w:t xml:space="preserve"> </w:t>
      </w:r>
    </w:p>
    <w:p w:rsidR="001E4617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Так, в о</w:t>
      </w:r>
      <w:r w:rsidRPr="008073EF">
        <w:rPr>
          <w:rFonts w:ascii="Times New Roman" w:hAnsi="Times New Roman"/>
          <w:sz w:val="24"/>
          <w:szCs w:val="24"/>
        </w:rPr>
        <w:t>бъём</w:t>
      </w:r>
      <w:r>
        <w:rPr>
          <w:rFonts w:ascii="Times New Roman" w:hAnsi="Times New Roman"/>
          <w:sz w:val="24"/>
          <w:szCs w:val="24"/>
        </w:rPr>
        <w:t>е</w:t>
      </w:r>
      <w:r w:rsidRPr="008073EF">
        <w:rPr>
          <w:rFonts w:ascii="Times New Roman" w:hAnsi="Times New Roman"/>
          <w:sz w:val="24"/>
          <w:szCs w:val="24"/>
        </w:rPr>
        <w:t xml:space="preserve"> производства</w:t>
      </w:r>
      <w:r>
        <w:rPr>
          <w:rFonts w:ascii="Times New Roman" w:hAnsi="Times New Roman"/>
          <w:sz w:val="24"/>
          <w:szCs w:val="24"/>
        </w:rPr>
        <w:t xml:space="preserve"> основных продуктов животноводства в хозяйствах всех категорий в </w:t>
      </w:r>
      <w:r w:rsidRPr="00DC61E3">
        <w:rPr>
          <w:rFonts w:ascii="Times New Roman" w:hAnsi="Times New Roman"/>
          <w:sz w:val="24"/>
          <w:szCs w:val="24"/>
        </w:rPr>
        <w:t xml:space="preserve">январе-августе 2019 года </w:t>
      </w:r>
      <w:r>
        <w:rPr>
          <w:rFonts w:ascii="Times New Roman" w:hAnsi="Times New Roman"/>
          <w:sz w:val="24"/>
          <w:szCs w:val="24"/>
        </w:rPr>
        <w:t>отмечено</w:t>
      </w:r>
      <w:r w:rsidRPr="00B252D5">
        <w:rPr>
          <w:rFonts w:ascii="Times New Roman" w:hAnsi="Times New Roman"/>
          <w:sz w:val="24"/>
          <w:szCs w:val="24"/>
        </w:rPr>
        <w:t xml:space="preserve"> </w:t>
      </w:r>
      <w:r w:rsidRPr="00DC61E3">
        <w:rPr>
          <w:rFonts w:ascii="Times New Roman" w:hAnsi="Times New Roman"/>
          <w:sz w:val="24"/>
          <w:szCs w:val="24"/>
        </w:rPr>
        <w:t>сокра</w:t>
      </w:r>
      <w:r>
        <w:rPr>
          <w:rFonts w:ascii="Times New Roman" w:hAnsi="Times New Roman"/>
          <w:sz w:val="24"/>
          <w:szCs w:val="24"/>
        </w:rPr>
        <w:t>щение</w:t>
      </w:r>
      <w:r w:rsidRPr="00DC61E3">
        <w:rPr>
          <w:rFonts w:ascii="Times New Roman" w:hAnsi="Times New Roman"/>
          <w:sz w:val="24"/>
          <w:szCs w:val="24"/>
        </w:rPr>
        <w:t xml:space="preserve"> производств</w:t>
      </w:r>
      <w:r>
        <w:rPr>
          <w:rFonts w:ascii="Times New Roman" w:hAnsi="Times New Roman"/>
          <w:sz w:val="24"/>
          <w:szCs w:val="24"/>
        </w:rPr>
        <w:t>а</w:t>
      </w:r>
      <w:r w:rsidRPr="00DC61E3">
        <w:rPr>
          <w:rFonts w:ascii="Times New Roman" w:hAnsi="Times New Roman"/>
          <w:sz w:val="24"/>
          <w:szCs w:val="24"/>
        </w:rPr>
        <w:t xml:space="preserve"> мяса скота и птицы на убой (в живом весе) к уровню аналогичного периода прошлого года на 0</w:t>
      </w:r>
      <w:r>
        <w:rPr>
          <w:rFonts w:ascii="Times New Roman" w:hAnsi="Times New Roman"/>
          <w:sz w:val="24"/>
          <w:szCs w:val="24"/>
        </w:rPr>
        <w:t>,</w:t>
      </w:r>
      <w:r w:rsidRPr="00DC61E3">
        <w:rPr>
          <w:rFonts w:ascii="Times New Roman" w:hAnsi="Times New Roman"/>
          <w:sz w:val="24"/>
          <w:szCs w:val="24"/>
        </w:rPr>
        <w:t>4%, (в январе-августе 2018 к январю-августу 2017 года у</w:t>
      </w:r>
      <w:r>
        <w:rPr>
          <w:rFonts w:ascii="Times New Roman" w:hAnsi="Times New Roman"/>
          <w:sz w:val="24"/>
          <w:szCs w:val="24"/>
        </w:rPr>
        <w:t>величилось на 34,2%) и</w:t>
      </w:r>
      <w:r w:rsidRPr="00DC61E3">
        <w:rPr>
          <w:rFonts w:ascii="Times New Roman" w:hAnsi="Times New Roman"/>
          <w:sz w:val="24"/>
          <w:szCs w:val="24"/>
        </w:rPr>
        <w:t xml:space="preserve"> яиц на 2</w:t>
      </w:r>
      <w:r>
        <w:rPr>
          <w:rFonts w:ascii="Times New Roman" w:hAnsi="Times New Roman"/>
          <w:sz w:val="24"/>
          <w:szCs w:val="24"/>
        </w:rPr>
        <w:t>,</w:t>
      </w:r>
      <w:r w:rsidRPr="00DC61E3">
        <w:rPr>
          <w:rFonts w:ascii="Times New Roman" w:hAnsi="Times New Roman"/>
          <w:sz w:val="24"/>
          <w:szCs w:val="24"/>
        </w:rPr>
        <w:t>4% (в январе-августе 2018 года к январю-августу 2017 года увеличилось на 1</w:t>
      </w:r>
      <w:r>
        <w:rPr>
          <w:rFonts w:ascii="Times New Roman" w:hAnsi="Times New Roman"/>
          <w:sz w:val="24"/>
          <w:szCs w:val="24"/>
        </w:rPr>
        <w:t>,</w:t>
      </w:r>
      <w:r w:rsidRPr="00DC61E3">
        <w:rPr>
          <w:rFonts w:ascii="Times New Roman" w:hAnsi="Times New Roman"/>
          <w:sz w:val="24"/>
          <w:szCs w:val="24"/>
        </w:rPr>
        <w:t>9%).</w:t>
      </w:r>
      <w:r w:rsidRPr="009943FD">
        <w:rPr>
          <w:rFonts w:ascii="Times New Roman" w:hAnsi="Times New Roman"/>
          <w:sz w:val="24"/>
          <w:szCs w:val="24"/>
        </w:rPr>
        <w:t xml:space="preserve"> </w:t>
      </w:r>
      <w:r w:rsidRPr="00DC61E3">
        <w:rPr>
          <w:rFonts w:ascii="Times New Roman" w:hAnsi="Times New Roman"/>
          <w:sz w:val="24"/>
          <w:szCs w:val="24"/>
        </w:rPr>
        <w:t>Производство молока увеличилось на 1</w:t>
      </w:r>
      <w:r>
        <w:rPr>
          <w:rFonts w:ascii="Times New Roman" w:hAnsi="Times New Roman"/>
          <w:sz w:val="24"/>
          <w:szCs w:val="24"/>
        </w:rPr>
        <w:t>,</w:t>
      </w:r>
      <w:r w:rsidRPr="00DC61E3">
        <w:rPr>
          <w:rFonts w:ascii="Times New Roman" w:hAnsi="Times New Roman"/>
          <w:sz w:val="24"/>
          <w:szCs w:val="24"/>
        </w:rPr>
        <w:t>1% (в январе-августе 2018 года по сравнению с тем же периодом 2017 года увеличилось на 9</w:t>
      </w:r>
      <w:r>
        <w:rPr>
          <w:rFonts w:ascii="Times New Roman" w:hAnsi="Times New Roman"/>
          <w:sz w:val="24"/>
          <w:szCs w:val="24"/>
        </w:rPr>
        <w:t>,</w:t>
      </w:r>
      <w:r w:rsidRPr="00DC61E3">
        <w:rPr>
          <w:rFonts w:ascii="Times New Roman" w:hAnsi="Times New Roman"/>
          <w:sz w:val="24"/>
          <w:szCs w:val="24"/>
        </w:rPr>
        <w:t xml:space="preserve">2%). </w:t>
      </w:r>
    </w:p>
    <w:p w:rsidR="001E4617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91D">
        <w:rPr>
          <w:rFonts w:ascii="Times New Roman" w:hAnsi="Times New Roman"/>
          <w:sz w:val="24"/>
          <w:szCs w:val="24"/>
        </w:rPr>
        <w:t>Анализ помесячной динамики в январе-июне 201</w:t>
      </w:r>
      <w:r>
        <w:rPr>
          <w:rFonts w:ascii="Times New Roman" w:hAnsi="Times New Roman"/>
          <w:sz w:val="24"/>
          <w:szCs w:val="24"/>
        </w:rPr>
        <w:t>9</w:t>
      </w:r>
      <w:r w:rsidRPr="0081291D">
        <w:rPr>
          <w:rFonts w:ascii="Times New Roman" w:hAnsi="Times New Roman"/>
          <w:sz w:val="24"/>
          <w:szCs w:val="24"/>
        </w:rPr>
        <w:t xml:space="preserve"> года демонстрирует </w:t>
      </w:r>
      <w:r>
        <w:rPr>
          <w:rFonts w:ascii="Times New Roman" w:hAnsi="Times New Roman"/>
          <w:sz w:val="24"/>
          <w:szCs w:val="24"/>
        </w:rPr>
        <w:t xml:space="preserve">снижение </w:t>
      </w:r>
      <w:r w:rsidRPr="0081291D">
        <w:rPr>
          <w:rFonts w:ascii="Times New Roman" w:hAnsi="Times New Roman"/>
          <w:sz w:val="24"/>
          <w:szCs w:val="24"/>
        </w:rPr>
        <w:t>темпов роста</w:t>
      </w:r>
      <w:r>
        <w:rPr>
          <w:rFonts w:ascii="Times New Roman" w:hAnsi="Times New Roman"/>
          <w:sz w:val="24"/>
          <w:szCs w:val="24"/>
        </w:rPr>
        <w:t xml:space="preserve"> выпуска сельскохозяйственной продукции и </w:t>
      </w:r>
      <w:r w:rsidRPr="00EF6E23">
        <w:rPr>
          <w:rFonts w:ascii="Times New Roman" w:hAnsi="Times New Roman"/>
          <w:sz w:val="24"/>
          <w:szCs w:val="24"/>
        </w:rPr>
        <w:t>не позволя</w:t>
      </w:r>
      <w:r>
        <w:rPr>
          <w:rFonts w:ascii="Times New Roman" w:hAnsi="Times New Roman"/>
          <w:sz w:val="24"/>
          <w:szCs w:val="24"/>
        </w:rPr>
        <w:t>е</w:t>
      </w:r>
      <w:r w:rsidRPr="00EF6E23">
        <w:rPr>
          <w:rFonts w:ascii="Times New Roman" w:hAnsi="Times New Roman"/>
          <w:sz w:val="24"/>
          <w:szCs w:val="24"/>
        </w:rPr>
        <w:t xml:space="preserve">т прогнозировать темп роста текущего года выше </w:t>
      </w:r>
      <w:r>
        <w:rPr>
          <w:rFonts w:ascii="Times New Roman" w:hAnsi="Times New Roman"/>
          <w:sz w:val="24"/>
          <w:szCs w:val="24"/>
        </w:rPr>
        <w:t>102,2%,</w:t>
      </w:r>
      <w:r w:rsidRPr="00D04642">
        <w:rPr>
          <w:rFonts w:ascii="Times New Roman" w:hAnsi="Times New Roman"/>
          <w:sz w:val="24"/>
          <w:szCs w:val="24"/>
        </w:rPr>
        <w:t xml:space="preserve"> по России данный показатель оценивается на уровне 101,3%.</w:t>
      </w:r>
    </w:p>
    <w:p w:rsidR="001E4617" w:rsidRPr="000469C4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После периода снижения объема работ в </w:t>
      </w:r>
      <w:r>
        <w:rPr>
          <w:rFonts w:ascii="Times New Roman" w:hAnsi="Times New Roman"/>
          <w:b/>
          <w:sz w:val="24"/>
          <w:szCs w:val="24"/>
        </w:rPr>
        <w:t>с</w:t>
      </w:r>
      <w:r w:rsidRPr="00625D7A">
        <w:rPr>
          <w:rFonts w:ascii="Times New Roman" w:hAnsi="Times New Roman"/>
          <w:b/>
          <w:sz w:val="24"/>
          <w:szCs w:val="24"/>
        </w:rPr>
        <w:t>троитель</w:t>
      </w:r>
      <w:r>
        <w:rPr>
          <w:rFonts w:ascii="Times New Roman" w:hAnsi="Times New Roman"/>
          <w:b/>
          <w:sz w:val="24"/>
          <w:szCs w:val="24"/>
        </w:rPr>
        <w:t xml:space="preserve">ной деятельности </w:t>
      </w:r>
      <w:r>
        <w:rPr>
          <w:rFonts w:ascii="Times New Roman" w:hAnsi="Times New Roman"/>
          <w:sz w:val="24"/>
          <w:szCs w:val="24"/>
        </w:rPr>
        <w:t xml:space="preserve">в текущем году наблюдаются позитивные изменения. </w:t>
      </w:r>
      <w:r w:rsidRPr="006669DB">
        <w:rPr>
          <w:rFonts w:ascii="Times New Roman" w:hAnsi="Times New Roman"/>
          <w:sz w:val="24"/>
          <w:szCs w:val="24"/>
        </w:rPr>
        <w:t xml:space="preserve">Прогнозируемые Администрацией темпы роста на 2019 год в размере 100% по итогам шести месяцев были </w:t>
      </w:r>
      <w:r>
        <w:rPr>
          <w:rFonts w:ascii="Times New Roman" w:hAnsi="Times New Roman"/>
          <w:sz w:val="24"/>
          <w:szCs w:val="24"/>
        </w:rPr>
        <w:t>скорректированы</w:t>
      </w:r>
      <w:r w:rsidRPr="006669DB">
        <w:rPr>
          <w:rFonts w:ascii="Times New Roman" w:hAnsi="Times New Roman"/>
          <w:sz w:val="24"/>
          <w:szCs w:val="24"/>
        </w:rPr>
        <w:t xml:space="preserve"> до 106,7%.</w:t>
      </w:r>
      <w:r w:rsidRPr="000657A3">
        <w:rPr>
          <w:rFonts w:ascii="Times New Roman" w:hAnsi="Times New Roman"/>
          <w:i/>
          <w:sz w:val="24"/>
          <w:szCs w:val="24"/>
        </w:rPr>
        <w:t xml:space="preserve"> </w:t>
      </w:r>
      <w:r w:rsidRPr="007404F2">
        <w:rPr>
          <w:rFonts w:ascii="Times New Roman" w:hAnsi="Times New Roman"/>
          <w:sz w:val="24"/>
          <w:szCs w:val="24"/>
        </w:rPr>
        <w:t>У</w:t>
      </w:r>
      <w:r w:rsidRPr="000469C4">
        <w:rPr>
          <w:rFonts w:ascii="Times New Roman" w:hAnsi="Times New Roman"/>
          <w:sz w:val="24"/>
          <w:szCs w:val="24"/>
        </w:rPr>
        <w:t>величение темпов роста в строительстве обусловлено повышением инвестиционного спроса, в том числе за счет начала реализации нацпроектов (оценка инвестиций на 2019 год – 100,2% при прогнозе – 97%).</w:t>
      </w:r>
    </w:p>
    <w:p w:rsidR="001E4617" w:rsidRPr="000D3AF8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0250">
        <w:rPr>
          <w:rFonts w:ascii="Times New Roman" w:hAnsi="Times New Roman"/>
          <w:sz w:val="24"/>
          <w:szCs w:val="24"/>
        </w:rPr>
        <w:t>Анализ помесячной динамики 2019 года свидетельствует о возможности достижения оценочного значения темпа роста.</w:t>
      </w:r>
      <w:r w:rsidRPr="000657A3">
        <w:rPr>
          <w:rFonts w:ascii="Times New Roman" w:hAnsi="Times New Roman"/>
          <w:i/>
          <w:sz w:val="24"/>
          <w:szCs w:val="24"/>
        </w:rPr>
        <w:t xml:space="preserve"> </w:t>
      </w:r>
      <w:r w:rsidRPr="000D3AF8">
        <w:rPr>
          <w:rFonts w:ascii="Times New Roman" w:hAnsi="Times New Roman"/>
          <w:sz w:val="24"/>
          <w:szCs w:val="24"/>
        </w:rPr>
        <w:t xml:space="preserve">Так, </w:t>
      </w:r>
      <w:r>
        <w:rPr>
          <w:rFonts w:ascii="Times New Roman" w:hAnsi="Times New Roman"/>
          <w:sz w:val="24"/>
          <w:szCs w:val="24"/>
        </w:rPr>
        <w:t>на фоне низкой базы 2018 года (</w:t>
      </w:r>
      <w:r w:rsidRPr="00530D89">
        <w:rPr>
          <w:rFonts w:ascii="Times New Roman" w:hAnsi="Times New Roman"/>
          <w:sz w:val="24"/>
          <w:szCs w:val="24"/>
        </w:rPr>
        <w:t>темп роста в августе 2018 года к августу 2017 года составил всего 78,9%)</w:t>
      </w:r>
      <w:r w:rsidRPr="00530D89">
        <w:rPr>
          <w:rFonts w:ascii="Times New Roman" w:hAnsi="Times New Roman"/>
          <w:b/>
          <w:sz w:val="24"/>
          <w:szCs w:val="24"/>
        </w:rPr>
        <w:t xml:space="preserve"> </w:t>
      </w:r>
      <w:r w:rsidRPr="000D3AF8">
        <w:rPr>
          <w:rFonts w:ascii="Times New Roman" w:hAnsi="Times New Roman"/>
          <w:sz w:val="24"/>
          <w:szCs w:val="24"/>
        </w:rPr>
        <w:t>в текущем году динамика объема работ только в феврале составила 88,6%, в остальные 7 месяцев показатель развития строительной отрасли колебался от 108,7% до 140,7%. По итогам 8 месяцев 2019 года темпы роста строительной отрасли достигли 122,3% к аналогичн</w:t>
      </w:r>
      <w:r>
        <w:rPr>
          <w:rFonts w:ascii="Times New Roman" w:hAnsi="Times New Roman"/>
          <w:sz w:val="24"/>
          <w:szCs w:val="24"/>
        </w:rPr>
        <w:t>ому уровню 2018 года.</w:t>
      </w:r>
    </w:p>
    <w:p w:rsidR="001E4617" w:rsidRDefault="001E4617" w:rsidP="008449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Несмотря на улучшение ситуации в строительной деятельности, показатель в</w:t>
      </w:r>
      <w:r w:rsidRPr="006B43C3">
        <w:rPr>
          <w:rFonts w:ascii="Times New Roman" w:hAnsi="Times New Roman"/>
          <w:sz w:val="24"/>
          <w:szCs w:val="24"/>
        </w:rPr>
        <w:t>вод</w:t>
      </w:r>
      <w:r>
        <w:rPr>
          <w:rFonts w:ascii="Times New Roman" w:hAnsi="Times New Roman"/>
          <w:sz w:val="24"/>
          <w:szCs w:val="24"/>
        </w:rPr>
        <w:t>а</w:t>
      </w:r>
      <w:r w:rsidRPr="006B43C3">
        <w:rPr>
          <w:rFonts w:ascii="Times New Roman" w:hAnsi="Times New Roman"/>
          <w:sz w:val="24"/>
          <w:szCs w:val="24"/>
        </w:rPr>
        <w:t xml:space="preserve"> в действие жилых домов по итогам 8 месяцев текущего года демонстрирует </w:t>
      </w:r>
      <w:r>
        <w:rPr>
          <w:rFonts w:ascii="Times New Roman" w:hAnsi="Times New Roman"/>
          <w:sz w:val="24"/>
          <w:szCs w:val="24"/>
        </w:rPr>
        <w:t xml:space="preserve">отрицательную динамику с темпом </w:t>
      </w:r>
      <w:r w:rsidRPr="006B43C3">
        <w:rPr>
          <w:rFonts w:ascii="Times New Roman" w:hAnsi="Times New Roman"/>
          <w:sz w:val="24"/>
          <w:szCs w:val="24"/>
        </w:rPr>
        <w:t>рост</w:t>
      </w:r>
      <w:r>
        <w:rPr>
          <w:rFonts w:ascii="Times New Roman" w:hAnsi="Times New Roman"/>
          <w:sz w:val="24"/>
          <w:szCs w:val="24"/>
        </w:rPr>
        <w:t>а</w:t>
      </w:r>
      <w:r w:rsidRPr="006B43C3">
        <w:rPr>
          <w:rFonts w:ascii="Times New Roman" w:hAnsi="Times New Roman"/>
          <w:sz w:val="24"/>
          <w:szCs w:val="24"/>
        </w:rPr>
        <w:t xml:space="preserve"> 68,</w:t>
      </w:r>
      <w:r>
        <w:rPr>
          <w:rFonts w:ascii="Times New Roman" w:hAnsi="Times New Roman"/>
          <w:sz w:val="24"/>
          <w:szCs w:val="24"/>
        </w:rPr>
        <w:t>8</w:t>
      </w:r>
      <w:r w:rsidRPr="006B43C3">
        <w:rPr>
          <w:rFonts w:ascii="Times New Roman" w:hAnsi="Times New Roman"/>
          <w:sz w:val="24"/>
          <w:szCs w:val="24"/>
        </w:rPr>
        <w:t>% (в аналогичном периоде прошлого года – 110,1%).</w:t>
      </w:r>
      <w:r>
        <w:rPr>
          <w:rFonts w:ascii="Times New Roman" w:hAnsi="Times New Roman"/>
          <w:sz w:val="24"/>
          <w:szCs w:val="24"/>
        </w:rPr>
        <w:t xml:space="preserve"> Снижение данного показателя связано с рядом факторов </w:t>
      </w:r>
      <w:r w:rsidRPr="00D51AAB">
        <w:rPr>
          <w:rFonts w:ascii="Times New Roman" w:hAnsi="Times New Roman"/>
          <w:sz w:val="24"/>
          <w:szCs w:val="24"/>
        </w:rPr>
        <w:t>(как отмечено в материалах к законопроекту)</w:t>
      </w:r>
      <w:r>
        <w:rPr>
          <w:rFonts w:ascii="Times New Roman" w:hAnsi="Times New Roman"/>
          <w:sz w:val="24"/>
          <w:szCs w:val="24"/>
        </w:rPr>
        <w:t>, в том числе с отсутствием у населения свободных денежных средств для приобретения жилья, проблемы с выделением земель и изменением условий финансирования</w:t>
      </w:r>
      <w:r w:rsidRPr="000F5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жилищного строительства.</w:t>
      </w:r>
    </w:p>
    <w:p w:rsidR="001E4617" w:rsidRPr="000657A3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04F2">
        <w:rPr>
          <w:rFonts w:ascii="Times New Roman" w:hAnsi="Times New Roman"/>
          <w:sz w:val="24"/>
          <w:szCs w:val="24"/>
        </w:rPr>
        <w:t xml:space="preserve">Таким образом, при сохранении текущих тенденций </w:t>
      </w:r>
      <w:r w:rsidRPr="00520D5B">
        <w:rPr>
          <w:rFonts w:ascii="Times New Roman" w:hAnsi="Times New Roman"/>
          <w:sz w:val="24"/>
          <w:szCs w:val="24"/>
        </w:rPr>
        <w:t xml:space="preserve">имеются все основания по итогам 2019 года рассчитывать на </w:t>
      </w:r>
      <w:r>
        <w:rPr>
          <w:rFonts w:ascii="Times New Roman" w:hAnsi="Times New Roman"/>
          <w:sz w:val="24"/>
          <w:szCs w:val="24"/>
        </w:rPr>
        <w:t>увеличение</w:t>
      </w:r>
      <w:r w:rsidRPr="00520D5B">
        <w:rPr>
          <w:rFonts w:ascii="Times New Roman" w:hAnsi="Times New Roman"/>
          <w:sz w:val="24"/>
          <w:szCs w:val="24"/>
        </w:rPr>
        <w:t xml:space="preserve"> объемов работ в строительной деятельности в пределах оценочного значения А</w:t>
      </w:r>
      <w:r>
        <w:rPr>
          <w:rFonts w:ascii="Times New Roman" w:hAnsi="Times New Roman"/>
          <w:sz w:val="24"/>
          <w:szCs w:val="24"/>
        </w:rPr>
        <w:t>дминистрации</w:t>
      </w:r>
      <w:r w:rsidRPr="00520D5B">
        <w:rPr>
          <w:rFonts w:ascii="Times New Roman" w:hAnsi="Times New Roman"/>
          <w:i/>
          <w:sz w:val="24"/>
          <w:szCs w:val="24"/>
        </w:rPr>
        <w:t>.</w:t>
      </w:r>
    </w:p>
    <w:p w:rsidR="001E4617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5BE">
        <w:rPr>
          <w:rFonts w:ascii="Times New Roman" w:hAnsi="Times New Roman"/>
          <w:b/>
          <w:sz w:val="24"/>
          <w:szCs w:val="24"/>
        </w:rPr>
        <w:t>Инвестиционная активность</w:t>
      </w:r>
      <w:r w:rsidRPr="00CB05BE">
        <w:rPr>
          <w:rFonts w:ascii="Times New Roman" w:hAnsi="Times New Roman"/>
          <w:sz w:val="24"/>
          <w:szCs w:val="24"/>
        </w:rPr>
        <w:t xml:space="preserve"> в Томской области на 2019 год на фоне низкой базы 2018 года (90,2%), оценивается на уровне 100,2% (по России – 103,1</w:t>
      </w:r>
      <w:r>
        <w:rPr>
          <w:rFonts w:ascii="Times New Roman" w:hAnsi="Times New Roman"/>
          <w:sz w:val="24"/>
          <w:szCs w:val="24"/>
        </w:rPr>
        <w:t>) при прогнозе 97%</w:t>
      </w:r>
      <w:r w:rsidRPr="00CB05BE">
        <w:rPr>
          <w:rFonts w:ascii="Times New Roman" w:hAnsi="Times New Roman"/>
          <w:sz w:val="24"/>
          <w:szCs w:val="24"/>
        </w:rPr>
        <w:t>.</w:t>
      </w:r>
      <w:r w:rsidRPr="00CB05BE">
        <w:rPr>
          <w:rFonts w:ascii="Times New Roman" w:hAnsi="Times New Roman"/>
          <w:i/>
          <w:sz w:val="24"/>
          <w:szCs w:val="24"/>
        </w:rPr>
        <w:t xml:space="preserve"> </w:t>
      </w:r>
      <w:r w:rsidRPr="0020244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ущественных изменений инвестиционной активности в текущем году не предполагается. По-прежнему</w:t>
      </w:r>
      <w:r w:rsidRPr="002024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объем</w:t>
      </w:r>
      <w:r w:rsidRPr="00202449">
        <w:rPr>
          <w:rFonts w:ascii="Times New Roman" w:hAnsi="Times New Roman"/>
          <w:sz w:val="24"/>
          <w:szCs w:val="24"/>
        </w:rPr>
        <w:t xml:space="preserve"> инвестиций в добычу углеводородного сырья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202449">
        <w:rPr>
          <w:rFonts w:ascii="Times New Roman" w:hAnsi="Times New Roman"/>
          <w:sz w:val="24"/>
          <w:szCs w:val="24"/>
        </w:rPr>
        <w:t xml:space="preserve"> обрабатывающие производства</w:t>
      </w:r>
      <w:r>
        <w:rPr>
          <w:rFonts w:ascii="Times New Roman" w:hAnsi="Times New Roman"/>
          <w:sz w:val="24"/>
          <w:szCs w:val="24"/>
        </w:rPr>
        <w:t xml:space="preserve"> сокращается</w:t>
      </w:r>
      <w:r w:rsidRPr="002024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при этом дополнительный рост ожидается за счет реализации национальных </w:t>
      </w:r>
      <w:r>
        <w:rPr>
          <w:rFonts w:ascii="Times New Roman" w:hAnsi="Times New Roman"/>
          <w:sz w:val="24"/>
          <w:szCs w:val="24"/>
        </w:rPr>
        <w:lastRenderedPageBreak/>
        <w:t xml:space="preserve">проектов, увеличения инвестиций в сельское хозяйство, пищевое производство, сферу телекоммуникаций и обеспечения электрической энергией, газом и паром. </w:t>
      </w:r>
    </w:p>
    <w:p w:rsidR="001E4617" w:rsidRPr="001B0807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26F5">
        <w:rPr>
          <w:rFonts w:ascii="Times New Roman" w:hAnsi="Times New Roman"/>
          <w:sz w:val="24"/>
          <w:szCs w:val="24"/>
        </w:rPr>
        <w:t>По итогам первого полугодия 2019 года темп роста инвестиций в основной капитал составил 91,1%,</w:t>
      </w:r>
      <w:r w:rsidRPr="000657A3">
        <w:rPr>
          <w:rFonts w:ascii="Times New Roman" w:hAnsi="Times New Roman"/>
          <w:i/>
          <w:sz w:val="24"/>
          <w:szCs w:val="24"/>
        </w:rPr>
        <w:t xml:space="preserve"> </w:t>
      </w:r>
      <w:r w:rsidRPr="001B0807">
        <w:rPr>
          <w:rFonts w:ascii="Times New Roman" w:hAnsi="Times New Roman"/>
          <w:sz w:val="24"/>
          <w:szCs w:val="24"/>
        </w:rPr>
        <w:t>при этом наибольшая доля традиционно пришлась на добычу полезных ископаемых – 51,1 %, операции с недвижимым имуществом – 9,9 %, обрабатывающие производства – 9,3% и</w:t>
      </w:r>
      <w:r>
        <w:rPr>
          <w:rFonts w:ascii="Times New Roman" w:hAnsi="Times New Roman"/>
          <w:sz w:val="24"/>
          <w:szCs w:val="24"/>
        </w:rPr>
        <w:t xml:space="preserve"> транспортировку</w:t>
      </w:r>
      <w:r w:rsidRPr="001B0807">
        <w:rPr>
          <w:rFonts w:ascii="Times New Roman" w:hAnsi="Times New Roman"/>
          <w:sz w:val="24"/>
          <w:szCs w:val="24"/>
        </w:rPr>
        <w:t xml:space="preserve"> и хранение – 7,2%.</w:t>
      </w:r>
    </w:p>
    <w:p w:rsidR="001E4617" w:rsidRPr="005B0B97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Сохраняется негативное влияние основных факторов, сдерживающих формирование благоприятного инвестиционного климата в предыдущем периоде,</w:t>
      </w:r>
      <w:r w:rsidRPr="00710A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710A56">
        <w:rPr>
          <w:rFonts w:ascii="Times New Roman" w:hAnsi="Times New Roman"/>
          <w:sz w:val="24"/>
          <w:szCs w:val="24"/>
        </w:rPr>
        <w:t>а объем инвестиций 2020 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10A56">
        <w:rPr>
          <w:rFonts w:ascii="Times New Roman" w:hAnsi="Times New Roman"/>
          <w:sz w:val="24"/>
          <w:szCs w:val="24"/>
        </w:rPr>
        <w:t>прогнозируемый на уровне 10</w:t>
      </w:r>
      <w:r>
        <w:rPr>
          <w:rFonts w:ascii="Times New Roman" w:hAnsi="Times New Roman"/>
          <w:sz w:val="24"/>
          <w:szCs w:val="24"/>
        </w:rPr>
        <w:t>0,</w:t>
      </w:r>
      <w:r w:rsidRPr="00710A56">
        <w:rPr>
          <w:rFonts w:ascii="Times New Roman" w:hAnsi="Times New Roman"/>
          <w:sz w:val="24"/>
          <w:szCs w:val="24"/>
        </w:rPr>
        <w:t>3%.</w:t>
      </w:r>
      <w:r>
        <w:rPr>
          <w:rFonts w:ascii="Times New Roman" w:hAnsi="Times New Roman"/>
          <w:sz w:val="24"/>
          <w:szCs w:val="24"/>
        </w:rPr>
        <w:t xml:space="preserve"> Для улучшения инвестиционного климата и повышения качества деловой среды на региональном уровне запланирована реализация инвестиционных проектов инфраструктурного и социального строительства, </w:t>
      </w:r>
      <w:r w:rsidRPr="005B0B97">
        <w:rPr>
          <w:rFonts w:ascii="Times New Roman" w:hAnsi="Times New Roman"/>
          <w:sz w:val="24"/>
          <w:szCs w:val="24"/>
        </w:rPr>
        <w:t>развитие механизмов государственно-частного партнерства, а также расширение мер стимулирования инвесторов.</w:t>
      </w:r>
    </w:p>
    <w:p w:rsidR="001E4617" w:rsidRPr="00BD74A7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657A3">
        <w:rPr>
          <w:rFonts w:ascii="Times New Roman" w:hAnsi="Times New Roman"/>
          <w:i/>
          <w:sz w:val="24"/>
          <w:szCs w:val="24"/>
        </w:rPr>
        <w:tab/>
      </w:r>
      <w:r w:rsidRPr="001F28B8">
        <w:rPr>
          <w:rFonts w:ascii="Times New Roman" w:hAnsi="Times New Roman"/>
          <w:sz w:val="24"/>
          <w:szCs w:val="24"/>
        </w:rPr>
        <w:t xml:space="preserve">В текущем году отмечен стабильный рост </w:t>
      </w:r>
      <w:r w:rsidRPr="001F28B8">
        <w:rPr>
          <w:rFonts w:ascii="Times New Roman" w:hAnsi="Times New Roman"/>
          <w:b/>
          <w:sz w:val="24"/>
          <w:szCs w:val="24"/>
        </w:rPr>
        <w:t>оборота розничной торговли</w:t>
      </w:r>
      <w:r w:rsidRPr="001F28B8">
        <w:rPr>
          <w:rFonts w:ascii="Times New Roman" w:hAnsi="Times New Roman"/>
          <w:sz w:val="24"/>
          <w:szCs w:val="24"/>
        </w:rPr>
        <w:t>. Так, за 8 месяцев 2019 года данный показатель составил 102,3%.</w:t>
      </w:r>
      <w:r w:rsidRPr="000657A3">
        <w:rPr>
          <w:rFonts w:ascii="Times New Roman" w:hAnsi="Times New Roman"/>
          <w:i/>
          <w:sz w:val="24"/>
          <w:szCs w:val="24"/>
        </w:rPr>
        <w:t xml:space="preserve"> </w:t>
      </w:r>
      <w:r w:rsidRPr="00BD74A7">
        <w:rPr>
          <w:rFonts w:ascii="Times New Roman" w:hAnsi="Times New Roman"/>
          <w:sz w:val="24"/>
          <w:szCs w:val="24"/>
        </w:rPr>
        <w:t xml:space="preserve">Анализ помесячной динамики свидетельствует о реальности достижения по итогам года уровня 101,7%. </w:t>
      </w:r>
    </w:p>
    <w:p w:rsidR="001E4617" w:rsidRPr="004617B0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17B0">
        <w:rPr>
          <w:rFonts w:ascii="Times New Roman" w:hAnsi="Times New Roman"/>
          <w:sz w:val="24"/>
          <w:szCs w:val="24"/>
        </w:rPr>
        <w:t xml:space="preserve">Отмечено снижение активности торговых операций в оптовой сфере, где темп роста по итогам 1 квартала составил 75,6 %, по итогам полугодия – 77,1%, а по итогам 8 месяцев – 78,7% (в аналогичном периоде 2018 года – 81,1%). </w:t>
      </w:r>
    </w:p>
    <w:p w:rsidR="001E4617" w:rsidRPr="00E167EE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657A3">
        <w:rPr>
          <w:rFonts w:ascii="Times New Roman" w:hAnsi="Times New Roman"/>
          <w:i/>
          <w:sz w:val="24"/>
          <w:szCs w:val="24"/>
        </w:rPr>
        <w:tab/>
      </w:r>
      <w:r w:rsidRPr="00A50147">
        <w:rPr>
          <w:rFonts w:ascii="Times New Roman" w:hAnsi="Times New Roman"/>
          <w:sz w:val="24"/>
          <w:szCs w:val="24"/>
        </w:rPr>
        <w:t>Уровень</w:t>
      </w:r>
      <w:r w:rsidRPr="00A50147">
        <w:rPr>
          <w:rFonts w:ascii="Times New Roman" w:hAnsi="Times New Roman"/>
          <w:b/>
          <w:sz w:val="24"/>
          <w:szCs w:val="24"/>
        </w:rPr>
        <w:t xml:space="preserve"> инфляции</w:t>
      </w:r>
      <w:r w:rsidRPr="00A50147">
        <w:rPr>
          <w:rFonts w:ascii="Times New Roman" w:hAnsi="Times New Roman"/>
          <w:sz w:val="24"/>
          <w:szCs w:val="24"/>
        </w:rPr>
        <w:t xml:space="preserve"> по</w:t>
      </w:r>
      <w:r w:rsidRPr="00E167EE">
        <w:rPr>
          <w:rFonts w:ascii="Times New Roman" w:hAnsi="Times New Roman"/>
          <w:sz w:val="24"/>
          <w:szCs w:val="24"/>
        </w:rPr>
        <w:t xml:space="preserve"> итогам 8 месяцев текущего года составил 102,7% при уровне </w:t>
      </w:r>
      <w:r>
        <w:rPr>
          <w:rFonts w:ascii="Times New Roman" w:hAnsi="Times New Roman"/>
          <w:sz w:val="24"/>
          <w:szCs w:val="24"/>
        </w:rPr>
        <w:t>ИПЦ</w:t>
      </w:r>
      <w:r w:rsidRPr="00E167EE">
        <w:rPr>
          <w:rFonts w:ascii="Times New Roman" w:hAnsi="Times New Roman"/>
          <w:sz w:val="24"/>
          <w:szCs w:val="24"/>
        </w:rPr>
        <w:t xml:space="preserve"> за аналогичный период прошлого года – 102,6%. </w:t>
      </w:r>
    </w:p>
    <w:p w:rsidR="001E4617" w:rsidRPr="00023CD7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657A3">
        <w:rPr>
          <w:rFonts w:ascii="Times New Roman" w:hAnsi="Times New Roman"/>
          <w:i/>
          <w:sz w:val="24"/>
          <w:szCs w:val="24"/>
        </w:rPr>
        <w:tab/>
      </w:r>
      <w:r w:rsidRPr="00023CD7">
        <w:rPr>
          <w:rFonts w:ascii="Times New Roman" w:hAnsi="Times New Roman"/>
          <w:sz w:val="24"/>
          <w:szCs w:val="24"/>
        </w:rPr>
        <w:t>В структуре ИПЦ инфляция на продовольственные товары составила 102,4%, на непродовольственные – 101,4% и на услуги – 104,9%.</w:t>
      </w:r>
    </w:p>
    <w:p w:rsidR="001E4617" w:rsidRPr="000A28FA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51">
        <w:rPr>
          <w:rFonts w:ascii="Times New Roman" w:hAnsi="Times New Roman"/>
          <w:sz w:val="24"/>
          <w:szCs w:val="24"/>
        </w:rPr>
        <w:t xml:space="preserve">Темп роста инфляции 2019 года, </w:t>
      </w:r>
      <w:r>
        <w:rPr>
          <w:rFonts w:ascii="Times New Roman" w:hAnsi="Times New Roman"/>
          <w:sz w:val="24"/>
          <w:szCs w:val="24"/>
        </w:rPr>
        <w:t>учитывая повышение ставки НДС и</w:t>
      </w:r>
      <w:r w:rsidRPr="00DC1AA5">
        <w:rPr>
          <w:rFonts w:ascii="Times New Roman" w:hAnsi="Times New Roman"/>
          <w:sz w:val="24"/>
          <w:szCs w:val="24"/>
        </w:rPr>
        <w:t xml:space="preserve"> рост тарифов для населения области на коммунальные услуги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174DA">
        <w:rPr>
          <w:rFonts w:ascii="Times New Roman" w:hAnsi="Times New Roman"/>
          <w:sz w:val="24"/>
          <w:szCs w:val="24"/>
        </w:rPr>
        <w:t xml:space="preserve">в среднем </w:t>
      </w:r>
      <w:r>
        <w:rPr>
          <w:rFonts w:ascii="Times New Roman" w:hAnsi="Times New Roman"/>
          <w:sz w:val="24"/>
          <w:szCs w:val="24"/>
        </w:rPr>
        <w:t>на</w:t>
      </w:r>
      <w:r w:rsidRPr="00B174DA">
        <w:rPr>
          <w:rFonts w:ascii="Times New Roman" w:hAnsi="Times New Roman"/>
          <w:sz w:val="24"/>
          <w:szCs w:val="24"/>
        </w:rPr>
        <w:t xml:space="preserve"> 8,3% к уровню 2018 года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174DA">
        <w:rPr>
          <w:rFonts w:ascii="Times New Roman" w:hAnsi="Times New Roman"/>
          <w:sz w:val="24"/>
          <w:szCs w:val="24"/>
        </w:rPr>
        <w:t>(с учетом введения нового тарифа на услуги регионального оператора по обращению с твердыми коммунальными отходами)</w:t>
      </w:r>
      <w:r w:rsidRPr="000657A3">
        <w:rPr>
          <w:rFonts w:ascii="Times New Roman" w:hAnsi="Times New Roman"/>
          <w:i/>
          <w:sz w:val="24"/>
          <w:szCs w:val="24"/>
        </w:rPr>
        <w:t xml:space="preserve">, </w:t>
      </w:r>
      <w:r w:rsidRPr="00F877A7">
        <w:rPr>
          <w:rFonts w:ascii="Times New Roman" w:hAnsi="Times New Roman"/>
          <w:sz w:val="24"/>
          <w:szCs w:val="24"/>
        </w:rPr>
        <w:t>ожидается до уровня 104,5%</w:t>
      </w:r>
      <w:r w:rsidRPr="00F877A7">
        <w:rPr>
          <w:rFonts w:ascii="Times New Roman" w:hAnsi="Times New Roman"/>
          <w:i/>
          <w:sz w:val="24"/>
          <w:szCs w:val="24"/>
        </w:rPr>
        <w:t xml:space="preserve"> </w:t>
      </w:r>
      <w:r w:rsidRPr="00F877A7">
        <w:rPr>
          <w:rFonts w:ascii="Times New Roman" w:hAnsi="Times New Roman"/>
          <w:sz w:val="24"/>
          <w:szCs w:val="24"/>
        </w:rPr>
        <w:t>(прогноз</w:t>
      </w:r>
      <w:r w:rsidRPr="00EF4051">
        <w:rPr>
          <w:rFonts w:ascii="Times New Roman" w:hAnsi="Times New Roman"/>
          <w:sz w:val="24"/>
          <w:szCs w:val="24"/>
        </w:rPr>
        <w:t xml:space="preserve"> 104,1%).</w:t>
      </w:r>
      <w:r w:rsidRPr="000657A3">
        <w:rPr>
          <w:rFonts w:ascii="Times New Roman" w:hAnsi="Times New Roman"/>
          <w:i/>
          <w:sz w:val="24"/>
          <w:szCs w:val="24"/>
        </w:rPr>
        <w:t xml:space="preserve"> </w:t>
      </w:r>
      <w:r w:rsidRPr="000311BD">
        <w:rPr>
          <w:rFonts w:ascii="Times New Roman" w:hAnsi="Times New Roman"/>
          <w:sz w:val="24"/>
          <w:szCs w:val="24"/>
        </w:rPr>
        <w:t xml:space="preserve">Прогнозируемый Администрацией на 2020-2022 годы уровень </w:t>
      </w:r>
      <w:r w:rsidRPr="000A28FA">
        <w:rPr>
          <w:rFonts w:ascii="Times New Roman" w:hAnsi="Times New Roman"/>
          <w:sz w:val="24"/>
          <w:szCs w:val="24"/>
        </w:rPr>
        <w:t>инфляции практически совпадает с прогнозом Минэкон</w:t>
      </w:r>
      <w:r>
        <w:rPr>
          <w:rFonts w:ascii="Times New Roman" w:hAnsi="Times New Roman"/>
          <w:sz w:val="24"/>
          <w:szCs w:val="24"/>
        </w:rPr>
        <w:t>омразвития РФ в целом по России</w:t>
      </w:r>
      <w:r w:rsidRPr="000A28FA">
        <w:rPr>
          <w:rFonts w:ascii="Times New Roman" w:hAnsi="Times New Roman"/>
          <w:sz w:val="24"/>
          <w:szCs w:val="24"/>
        </w:rPr>
        <w:t>.</w:t>
      </w:r>
    </w:p>
    <w:p w:rsidR="001E4617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E4617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23607">
        <w:rPr>
          <w:noProof/>
          <w:lang w:eastAsia="ru-RU"/>
        </w:rPr>
        <w:object w:dxaOrig="9150" w:dyaOrig="3936">
          <v:shape id="Диаграмма 1" o:spid="_x0000_i1026" type="#_x0000_t75" style="width:460.8pt;height:230.4pt;visibility:visible" o:ole="">
            <v:imagedata r:id="rId9" o:title=""/>
            <o:lock v:ext="edit" aspectratio="f"/>
          </v:shape>
          <o:OLEObject Type="Embed" ProgID="Excel.Sheet.8" ShapeID="Диаграмма 1" DrawAspect="Content" ObjectID="_1642582322" r:id="rId10"/>
        </w:object>
      </w:r>
    </w:p>
    <w:p w:rsidR="001E4617" w:rsidRPr="005A0358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E4617" w:rsidRPr="000657A3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E4617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4617" w:rsidRPr="00213EDA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281F">
        <w:rPr>
          <w:rFonts w:ascii="Times New Roman" w:hAnsi="Times New Roman"/>
          <w:sz w:val="24"/>
          <w:szCs w:val="24"/>
        </w:rPr>
        <w:t>В качестве механизмов по сдерживанию инфляции на федеральном уровне планируется продолжить реализацию денежно-кредитной политики</w:t>
      </w:r>
      <w:r w:rsidRPr="000657A3">
        <w:rPr>
          <w:rFonts w:ascii="Times New Roman" w:hAnsi="Times New Roman"/>
          <w:i/>
          <w:sz w:val="24"/>
          <w:szCs w:val="24"/>
        </w:rPr>
        <w:t xml:space="preserve">, </w:t>
      </w:r>
      <w:r w:rsidRPr="004A5537">
        <w:rPr>
          <w:rFonts w:ascii="Times New Roman" w:hAnsi="Times New Roman"/>
          <w:sz w:val="24"/>
          <w:szCs w:val="24"/>
        </w:rPr>
        <w:t xml:space="preserve">поддержание устойчивого курса рубля, создание </w:t>
      </w:r>
      <w:r w:rsidRPr="00310651">
        <w:rPr>
          <w:rFonts w:ascii="Times New Roman" w:hAnsi="Times New Roman"/>
          <w:sz w:val="24"/>
          <w:szCs w:val="24"/>
        </w:rPr>
        <w:t xml:space="preserve">внутренних финансовых ресурсов для </w:t>
      </w:r>
      <w:r>
        <w:rPr>
          <w:rFonts w:ascii="Times New Roman" w:hAnsi="Times New Roman"/>
          <w:sz w:val="24"/>
          <w:szCs w:val="24"/>
        </w:rPr>
        <w:t xml:space="preserve">улучшения инвестиционного климата </w:t>
      </w:r>
      <w:r w:rsidRPr="008235D8">
        <w:rPr>
          <w:rFonts w:ascii="Times New Roman" w:hAnsi="Times New Roman"/>
          <w:sz w:val="24"/>
          <w:szCs w:val="24"/>
        </w:rPr>
        <w:t xml:space="preserve">и </w:t>
      </w:r>
      <w:r w:rsidRPr="008235D8">
        <w:rPr>
          <w:rFonts w:ascii="Times New Roman" w:hAnsi="Times New Roman"/>
          <w:sz w:val="24"/>
          <w:szCs w:val="24"/>
        </w:rPr>
        <w:lastRenderedPageBreak/>
        <w:t>предсказуемое тарифное регулирование.</w:t>
      </w:r>
      <w:r w:rsidRPr="000657A3">
        <w:rPr>
          <w:rFonts w:ascii="Times New Roman" w:hAnsi="Times New Roman"/>
          <w:i/>
          <w:sz w:val="24"/>
          <w:szCs w:val="24"/>
        </w:rPr>
        <w:t xml:space="preserve"> </w:t>
      </w:r>
      <w:r w:rsidRPr="00213EDA">
        <w:rPr>
          <w:rFonts w:ascii="Times New Roman" w:hAnsi="Times New Roman"/>
          <w:sz w:val="24"/>
          <w:szCs w:val="24"/>
        </w:rPr>
        <w:t>На региональном уровне к мерам, принимаемым в предыдущем</w:t>
      </w:r>
      <w:r>
        <w:rPr>
          <w:rFonts w:ascii="Times New Roman" w:hAnsi="Times New Roman"/>
          <w:sz w:val="24"/>
          <w:szCs w:val="24"/>
        </w:rPr>
        <w:t xml:space="preserve"> периоде, в том числе</w:t>
      </w:r>
      <w:r w:rsidRPr="00213EDA">
        <w:rPr>
          <w:rFonts w:ascii="Times New Roman" w:hAnsi="Times New Roman"/>
          <w:sz w:val="24"/>
          <w:szCs w:val="24"/>
        </w:rPr>
        <w:t xml:space="preserve"> соблюдение предельных уровней и индексов роста тарифов на коммунальные услуги и развитие потребительского рынка в среднесрочном периоде запланировано совершенствование регулирования тарифов на перевозки пассажиров автомобильным транспортом, а также осуществление государственного контроля (надзора) за соблюдением тарифов регулируемыми организациями.</w:t>
      </w:r>
    </w:p>
    <w:p w:rsidR="001E4617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248F">
        <w:rPr>
          <w:rFonts w:ascii="Times New Roman" w:hAnsi="Times New Roman"/>
          <w:sz w:val="24"/>
          <w:szCs w:val="24"/>
        </w:rPr>
        <w:t>Денежные доходы населения в реальном выражении (с учетом ИПЦ) в 2019 году составили 99,8% к январю-июню 2018 года, денежные расходы в реальном выражении – 104,3%.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2E5A">
        <w:rPr>
          <w:rFonts w:ascii="Times New Roman" w:hAnsi="Times New Roman"/>
          <w:sz w:val="24"/>
          <w:szCs w:val="24"/>
        </w:rPr>
        <w:t>Потребительские расходы в расчете на душу населения в январе-июне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2E5A">
        <w:rPr>
          <w:rFonts w:ascii="Times New Roman" w:hAnsi="Times New Roman"/>
          <w:sz w:val="24"/>
          <w:szCs w:val="24"/>
        </w:rPr>
        <w:t>2019 года составили 22</w:t>
      </w:r>
      <w:r>
        <w:rPr>
          <w:rFonts w:ascii="Times New Roman" w:hAnsi="Times New Roman"/>
          <w:sz w:val="24"/>
          <w:szCs w:val="24"/>
        </w:rPr>
        <w:t> </w:t>
      </w:r>
      <w:r w:rsidRPr="00942E5A">
        <w:rPr>
          <w:rFonts w:ascii="Times New Roman" w:hAnsi="Times New Roman"/>
          <w:sz w:val="24"/>
          <w:szCs w:val="24"/>
        </w:rPr>
        <w:t>650</w:t>
      </w:r>
      <w:r>
        <w:rPr>
          <w:rFonts w:ascii="Times New Roman" w:hAnsi="Times New Roman"/>
          <w:sz w:val="24"/>
          <w:szCs w:val="24"/>
        </w:rPr>
        <w:t>,</w:t>
      </w:r>
      <w:r w:rsidRPr="00942E5A">
        <w:rPr>
          <w:rFonts w:ascii="Times New Roman" w:hAnsi="Times New Roman"/>
          <w:sz w:val="24"/>
          <w:szCs w:val="24"/>
        </w:rPr>
        <w:t>9 рублей и у</w:t>
      </w:r>
      <w:r>
        <w:rPr>
          <w:rFonts w:ascii="Times New Roman" w:hAnsi="Times New Roman"/>
          <w:sz w:val="24"/>
          <w:szCs w:val="24"/>
        </w:rPr>
        <w:t>величились по сравнению с январем-</w:t>
      </w:r>
      <w:r w:rsidRPr="00942E5A">
        <w:rPr>
          <w:rFonts w:ascii="Times New Roman" w:hAnsi="Times New Roman"/>
          <w:sz w:val="24"/>
          <w:szCs w:val="24"/>
        </w:rPr>
        <w:t>июнем 2018 года на 11</w:t>
      </w:r>
      <w:r>
        <w:rPr>
          <w:rFonts w:ascii="Times New Roman" w:hAnsi="Times New Roman"/>
          <w:sz w:val="24"/>
          <w:szCs w:val="24"/>
        </w:rPr>
        <w:t>,</w:t>
      </w:r>
      <w:r w:rsidRPr="00942E5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%. </w:t>
      </w:r>
    </w:p>
    <w:p w:rsidR="001E4617" w:rsidRPr="000657A3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7346">
        <w:rPr>
          <w:rFonts w:ascii="Times New Roman" w:hAnsi="Times New Roman"/>
          <w:sz w:val="24"/>
          <w:szCs w:val="24"/>
        </w:rPr>
        <w:t>По итогам 2019 года оценка реальных располагаемых денежных доходов населения Администрацией области снижена до 99% при прогнозном значении - 100,9%.</w:t>
      </w:r>
    </w:p>
    <w:p w:rsidR="001E4617" w:rsidRPr="002C3D26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D26">
        <w:rPr>
          <w:rFonts w:ascii="Times New Roman" w:hAnsi="Times New Roman"/>
          <w:sz w:val="24"/>
          <w:szCs w:val="24"/>
        </w:rPr>
        <w:t>На фоне регионов Сибирского федерального округа (СФО) Томская область по итогам января-августа текущего года по показателю индекс промышленного производства разделила четвертое место с Алтайским краем (101,5%), уступая Республике Хакасия (108,3%), Новосибирской области (102,9%) и Кемеровской области (102,6%)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A54DF">
        <w:rPr>
          <w:rFonts w:ascii="Times New Roman" w:hAnsi="Times New Roman"/>
          <w:sz w:val="24"/>
          <w:szCs w:val="24"/>
        </w:rPr>
        <w:t>при средней величине данного индекса по СФО - 10</w:t>
      </w:r>
      <w:r>
        <w:rPr>
          <w:rFonts w:ascii="Times New Roman" w:hAnsi="Times New Roman"/>
          <w:sz w:val="24"/>
          <w:szCs w:val="24"/>
        </w:rPr>
        <w:t>1</w:t>
      </w:r>
      <w:r w:rsidRPr="00FA54D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6</w:t>
      </w:r>
      <w:r w:rsidRPr="00FA54DF">
        <w:rPr>
          <w:rFonts w:ascii="Times New Roman" w:hAnsi="Times New Roman"/>
          <w:sz w:val="24"/>
          <w:szCs w:val="24"/>
        </w:rPr>
        <w:t>%.</w:t>
      </w:r>
    </w:p>
    <w:p w:rsidR="001E4617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7A17">
        <w:rPr>
          <w:rFonts w:ascii="Times New Roman" w:hAnsi="Times New Roman"/>
          <w:sz w:val="24"/>
          <w:szCs w:val="24"/>
        </w:rPr>
        <w:t>По обороту розничной торговли (102,3%) Томская область соответствует средней величине данного индекса по СФО, но занимает одну из низких позиций, опережая только Новосибирскую область (101,9%), Кемеровскую область (101,4%), Омскую область (101,3%) и Алтайский край (100,5%).</w:t>
      </w:r>
      <w:r w:rsidRPr="003C7A17">
        <w:rPr>
          <w:rFonts w:ascii="Times New Roman" w:hAnsi="Times New Roman"/>
          <w:i/>
          <w:sz w:val="24"/>
          <w:szCs w:val="24"/>
        </w:rPr>
        <w:t xml:space="preserve">  </w:t>
      </w:r>
      <w:r w:rsidRPr="00AC48E4">
        <w:rPr>
          <w:rFonts w:ascii="Times New Roman" w:hAnsi="Times New Roman"/>
          <w:sz w:val="24"/>
          <w:szCs w:val="24"/>
        </w:rPr>
        <w:t xml:space="preserve">По объему платных услуг населению Томская область занимает последнюю позицию с темпами роста 99% (в среднем по СФО </w:t>
      </w:r>
      <w:r>
        <w:rPr>
          <w:rFonts w:ascii="Times New Roman" w:hAnsi="Times New Roman"/>
          <w:sz w:val="24"/>
          <w:szCs w:val="24"/>
        </w:rPr>
        <w:t>–</w:t>
      </w:r>
      <w:r w:rsidRPr="00AC48E4">
        <w:rPr>
          <w:rFonts w:ascii="Times New Roman" w:hAnsi="Times New Roman"/>
          <w:sz w:val="24"/>
          <w:szCs w:val="24"/>
        </w:rPr>
        <w:t xml:space="preserve"> 100</w:t>
      </w:r>
      <w:r w:rsidRPr="005675AC">
        <w:rPr>
          <w:rFonts w:ascii="Times New Roman" w:hAnsi="Times New Roman"/>
          <w:sz w:val="24"/>
          <w:szCs w:val="24"/>
        </w:rPr>
        <w:t>%).  По объему подрядных работ по виду деятельности «Строительство» Томская область занимает лидирующую позицию с темпами роста 122,3%</w:t>
      </w:r>
      <w:r>
        <w:rPr>
          <w:rFonts w:ascii="Times New Roman" w:hAnsi="Times New Roman"/>
          <w:sz w:val="24"/>
          <w:szCs w:val="24"/>
        </w:rPr>
        <w:t>. Первые два места занимают</w:t>
      </w:r>
      <w:r w:rsidRPr="005675AC">
        <w:rPr>
          <w:rFonts w:ascii="Times New Roman" w:hAnsi="Times New Roman"/>
          <w:sz w:val="24"/>
          <w:szCs w:val="24"/>
        </w:rPr>
        <w:t xml:space="preserve"> Республик</w:t>
      </w:r>
      <w:r>
        <w:rPr>
          <w:rFonts w:ascii="Times New Roman" w:hAnsi="Times New Roman"/>
          <w:sz w:val="24"/>
          <w:szCs w:val="24"/>
        </w:rPr>
        <w:t>а</w:t>
      </w:r>
      <w:r w:rsidRPr="005675AC">
        <w:rPr>
          <w:rFonts w:ascii="Times New Roman" w:hAnsi="Times New Roman"/>
          <w:sz w:val="24"/>
          <w:szCs w:val="24"/>
        </w:rPr>
        <w:t xml:space="preserve"> Тыва (157,4%) и Иркутск</w:t>
      </w:r>
      <w:r>
        <w:rPr>
          <w:rFonts w:ascii="Times New Roman" w:hAnsi="Times New Roman"/>
          <w:sz w:val="24"/>
          <w:szCs w:val="24"/>
        </w:rPr>
        <w:t>ая</w:t>
      </w:r>
      <w:r w:rsidRPr="005675AC">
        <w:rPr>
          <w:rFonts w:ascii="Times New Roman" w:hAnsi="Times New Roman"/>
          <w:sz w:val="24"/>
          <w:szCs w:val="24"/>
        </w:rPr>
        <w:t xml:space="preserve"> област</w:t>
      </w:r>
      <w:r>
        <w:rPr>
          <w:rFonts w:ascii="Times New Roman" w:hAnsi="Times New Roman"/>
          <w:sz w:val="24"/>
          <w:szCs w:val="24"/>
        </w:rPr>
        <w:t>ь</w:t>
      </w:r>
      <w:r w:rsidRPr="005675AC">
        <w:rPr>
          <w:rFonts w:ascii="Times New Roman" w:hAnsi="Times New Roman"/>
          <w:sz w:val="24"/>
          <w:szCs w:val="24"/>
        </w:rPr>
        <w:t xml:space="preserve"> (137,8%), при средней величине данного индекса по СФО – 106,4%.</w:t>
      </w:r>
    </w:p>
    <w:p w:rsidR="001E4617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617" w:rsidRPr="000657A3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i/>
        </w:rPr>
      </w:pPr>
      <w:r w:rsidRPr="007C7F1B">
        <w:rPr>
          <w:rFonts w:ascii="Times New Roman" w:hAnsi="Times New Roman"/>
          <w:b/>
          <w:i/>
        </w:rPr>
        <w:t>Индексы физического объема экономических показателей регионов СФО за январь-август 201</w:t>
      </w:r>
      <w:r>
        <w:rPr>
          <w:rFonts w:ascii="Times New Roman" w:hAnsi="Times New Roman"/>
          <w:b/>
          <w:i/>
        </w:rPr>
        <w:t>9</w:t>
      </w:r>
      <w:r w:rsidRPr="007C7F1B">
        <w:rPr>
          <w:rFonts w:ascii="Times New Roman" w:hAnsi="Times New Roman"/>
          <w:b/>
          <w:i/>
        </w:rPr>
        <w:t xml:space="preserve"> года по данным </w:t>
      </w:r>
      <w:r>
        <w:rPr>
          <w:rFonts w:ascii="Times New Roman" w:hAnsi="Times New Roman"/>
          <w:b/>
          <w:i/>
        </w:rPr>
        <w:t>Рос</w:t>
      </w:r>
      <w:r w:rsidRPr="007C7F1B">
        <w:rPr>
          <w:rFonts w:ascii="Times New Roman" w:hAnsi="Times New Roman"/>
          <w:b/>
          <w:i/>
        </w:rPr>
        <w:t>стат</w:t>
      </w:r>
      <w:r>
        <w:rPr>
          <w:rFonts w:ascii="Times New Roman" w:hAnsi="Times New Roman"/>
          <w:b/>
          <w:i/>
        </w:rPr>
        <w:t>а</w:t>
      </w:r>
      <w:r w:rsidRPr="000657A3">
        <w:rPr>
          <w:rFonts w:ascii="Times New Roman" w:hAnsi="Times New Roman"/>
          <w:i/>
        </w:rPr>
        <w:t xml:space="preserve"> </w:t>
      </w:r>
    </w:p>
    <w:p w:rsidR="001E4617" w:rsidRPr="000657A3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i/>
          <w:sz w:val="20"/>
          <w:szCs w:val="20"/>
        </w:rPr>
      </w:pPr>
      <w:r w:rsidRPr="000657A3">
        <w:rPr>
          <w:rFonts w:ascii="Times New Roman" w:hAnsi="Times New Roman"/>
          <w:i/>
          <w:sz w:val="20"/>
          <w:szCs w:val="20"/>
        </w:rPr>
        <w:t>(в % к соответствующему периоду предыдущего года)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4"/>
        <w:gridCol w:w="845"/>
        <w:gridCol w:w="850"/>
        <w:gridCol w:w="851"/>
        <w:gridCol w:w="850"/>
        <w:gridCol w:w="992"/>
        <w:gridCol w:w="851"/>
        <w:gridCol w:w="709"/>
        <w:gridCol w:w="708"/>
        <w:gridCol w:w="851"/>
        <w:gridCol w:w="567"/>
      </w:tblGrid>
      <w:tr w:rsidR="001E4617" w:rsidRPr="00606949" w:rsidTr="003F23A5">
        <w:trPr>
          <w:trHeight w:val="43"/>
          <w:jc w:val="center"/>
        </w:trPr>
        <w:tc>
          <w:tcPr>
            <w:tcW w:w="1854" w:type="dxa"/>
            <w:vMerge w:val="restart"/>
            <w:vAlign w:val="center"/>
          </w:tcPr>
          <w:p w:rsidR="001E4617" w:rsidRPr="000D7810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0D7810">
              <w:rPr>
                <w:rFonts w:ascii="Times New Roman" w:hAnsi="Times New Roman"/>
                <w:i/>
                <w:sz w:val="16"/>
                <w:szCs w:val="16"/>
              </w:rPr>
              <w:t xml:space="preserve">     Регионы</w:t>
            </w:r>
          </w:p>
        </w:tc>
        <w:tc>
          <w:tcPr>
            <w:tcW w:w="845" w:type="dxa"/>
            <w:vMerge w:val="restart"/>
          </w:tcPr>
          <w:p w:rsidR="001E4617" w:rsidRPr="000D7810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w w:val="99"/>
                <w:sz w:val="16"/>
                <w:szCs w:val="16"/>
              </w:rPr>
            </w:pPr>
            <w:r w:rsidRPr="000D7810">
              <w:rPr>
                <w:rFonts w:ascii="Times New Roman" w:hAnsi="Times New Roman"/>
                <w:i/>
                <w:sz w:val="16"/>
                <w:szCs w:val="16"/>
              </w:rPr>
              <w:t xml:space="preserve">Индекс </w:t>
            </w:r>
            <w:r w:rsidRPr="000D7810">
              <w:rPr>
                <w:rFonts w:ascii="Times New Roman" w:hAnsi="Times New Roman"/>
                <w:i/>
                <w:w w:val="99"/>
                <w:sz w:val="16"/>
                <w:szCs w:val="16"/>
              </w:rPr>
              <w:t>промыш-</w:t>
            </w:r>
          </w:p>
          <w:p w:rsidR="001E4617" w:rsidRPr="000D7810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D7810">
              <w:rPr>
                <w:rFonts w:ascii="Times New Roman" w:hAnsi="Times New Roman"/>
                <w:i/>
                <w:w w:val="98"/>
                <w:sz w:val="16"/>
                <w:szCs w:val="16"/>
              </w:rPr>
              <w:t xml:space="preserve">ленного </w:t>
            </w:r>
            <w:r w:rsidRPr="000D7810">
              <w:rPr>
                <w:rFonts w:ascii="Times New Roman" w:hAnsi="Times New Roman"/>
                <w:i/>
                <w:sz w:val="16"/>
                <w:szCs w:val="16"/>
              </w:rPr>
              <w:t>произ-</w:t>
            </w:r>
            <w:r w:rsidRPr="000D7810">
              <w:rPr>
                <w:rFonts w:ascii="Times New Roman" w:hAnsi="Times New Roman"/>
                <w:i/>
                <w:w w:val="99"/>
                <w:sz w:val="16"/>
                <w:szCs w:val="16"/>
              </w:rPr>
              <w:t>ва</w:t>
            </w:r>
          </w:p>
        </w:tc>
        <w:tc>
          <w:tcPr>
            <w:tcW w:w="3543" w:type="dxa"/>
            <w:gridSpan w:val="4"/>
            <w:vAlign w:val="bottom"/>
          </w:tcPr>
          <w:p w:rsidR="001E4617" w:rsidRPr="000D7810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D7810">
              <w:rPr>
                <w:rFonts w:ascii="Times New Roman" w:hAnsi="Times New Roman"/>
                <w:i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</w:tcPr>
          <w:p w:rsidR="001E4617" w:rsidRPr="000D7810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D7810">
              <w:rPr>
                <w:rFonts w:ascii="Times New Roman" w:hAnsi="Times New Roman"/>
                <w:i/>
                <w:sz w:val="16"/>
                <w:szCs w:val="16"/>
              </w:rPr>
              <w:t xml:space="preserve">Оборот </w:t>
            </w:r>
            <w:r w:rsidRPr="000D7810">
              <w:rPr>
                <w:rFonts w:ascii="Times New Roman" w:hAnsi="Times New Roman"/>
                <w:i/>
                <w:w w:val="99"/>
                <w:sz w:val="16"/>
                <w:szCs w:val="16"/>
              </w:rPr>
              <w:t>розничн</w:t>
            </w:r>
            <w:r w:rsidRPr="000D7810">
              <w:rPr>
                <w:rFonts w:ascii="Times New Roman" w:hAnsi="Times New Roman"/>
                <w:i/>
                <w:w w:val="98"/>
                <w:sz w:val="16"/>
                <w:szCs w:val="16"/>
              </w:rPr>
              <w:t xml:space="preserve">ой </w:t>
            </w:r>
            <w:r w:rsidRPr="000D7810">
              <w:rPr>
                <w:rFonts w:ascii="Times New Roman" w:hAnsi="Times New Roman"/>
                <w:i/>
                <w:sz w:val="16"/>
                <w:szCs w:val="16"/>
              </w:rPr>
              <w:t>торгов</w:t>
            </w:r>
            <w:r w:rsidRPr="000D7810">
              <w:rPr>
                <w:rFonts w:ascii="Times New Roman" w:hAnsi="Times New Roman"/>
                <w:i/>
                <w:w w:val="96"/>
                <w:sz w:val="16"/>
                <w:szCs w:val="16"/>
              </w:rPr>
              <w:t>ли</w:t>
            </w:r>
          </w:p>
        </w:tc>
        <w:tc>
          <w:tcPr>
            <w:tcW w:w="709" w:type="dxa"/>
            <w:vMerge w:val="restart"/>
          </w:tcPr>
          <w:p w:rsidR="001E4617" w:rsidRPr="000D7810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D7810">
              <w:rPr>
                <w:rFonts w:ascii="Times New Roman" w:hAnsi="Times New Roman"/>
                <w:i/>
                <w:w w:val="99"/>
                <w:sz w:val="16"/>
                <w:szCs w:val="16"/>
              </w:rPr>
              <w:t xml:space="preserve">Объем </w:t>
            </w:r>
            <w:r w:rsidRPr="000D7810">
              <w:rPr>
                <w:rFonts w:ascii="Times New Roman" w:hAnsi="Times New Roman"/>
                <w:i/>
                <w:sz w:val="16"/>
                <w:szCs w:val="16"/>
              </w:rPr>
              <w:t>платных услуг населе-</w:t>
            </w:r>
            <w:r w:rsidRPr="000D7810">
              <w:rPr>
                <w:rFonts w:ascii="Times New Roman" w:hAnsi="Times New Roman"/>
                <w:i/>
                <w:w w:val="99"/>
                <w:sz w:val="16"/>
                <w:szCs w:val="16"/>
              </w:rPr>
              <w:t>нию</w:t>
            </w:r>
          </w:p>
        </w:tc>
        <w:tc>
          <w:tcPr>
            <w:tcW w:w="708" w:type="dxa"/>
            <w:vMerge w:val="restart"/>
          </w:tcPr>
          <w:p w:rsidR="001E4617" w:rsidRPr="000D7810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D7810">
              <w:rPr>
                <w:rFonts w:ascii="Times New Roman" w:hAnsi="Times New Roman"/>
                <w:i/>
                <w:sz w:val="16"/>
                <w:szCs w:val="16"/>
              </w:rPr>
              <w:t xml:space="preserve">Ввод в </w:t>
            </w:r>
            <w:r w:rsidRPr="000D7810">
              <w:rPr>
                <w:rFonts w:ascii="Times New Roman" w:hAnsi="Times New Roman"/>
                <w:i/>
                <w:w w:val="99"/>
                <w:sz w:val="16"/>
                <w:szCs w:val="16"/>
              </w:rPr>
              <w:t xml:space="preserve">действие </w:t>
            </w:r>
            <w:r w:rsidRPr="000D7810">
              <w:rPr>
                <w:rFonts w:ascii="Times New Roman" w:hAnsi="Times New Roman"/>
                <w:i/>
                <w:sz w:val="16"/>
                <w:szCs w:val="16"/>
              </w:rPr>
              <w:t>жилых домов</w:t>
            </w:r>
          </w:p>
        </w:tc>
        <w:tc>
          <w:tcPr>
            <w:tcW w:w="851" w:type="dxa"/>
            <w:vMerge w:val="restart"/>
          </w:tcPr>
          <w:tbl>
            <w:tblPr>
              <w:tblW w:w="851" w:type="dxa"/>
              <w:tblLayout w:type="fixed"/>
              <w:tblLook w:val="0000" w:firstRow="0" w:lastRow="0" w:firstColumn="0" w:lastColumn="0" w:noHBand="0" w:noVBand="0"/>
            </w:tblPr>
            <w:tblGrid>
              <w:gridCol w:w="851"/>
            </w:tblGrid>
            <w:tr w:rsidR="001E4617" w:rsidRPr="00606949" w:rsidTr="003F23A5">
              <w:trPr>
                <w:trHeight w:val="2418"/>
              </w:trPr>
              <w:tc>
                <w:tcPr>
                  <w:tcW w:w="851" w:type="dxa"/>
                </w:tcPr>
                <w:p w:rsidR="001E4617" w:rsidRPr="000D7810" w:rsidRDefault="001E4617" w:rsidP="003F23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0D7810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Объем</w:t>
                  </w:r>
                </w:p>
                <w:p w:rsidR="001E4617" w:rsidRPr="000D7810" w:rsidRDefault="001E4617" w:rsidP="003F23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0D7810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работ, выполн.</w:t>
                  </w:r>
                </w:p>
                <w:p w:rsidR="001E4617" w:rsidRPr="000D7810" w:rsidRDefault="001E4617" w:rsidP="003F23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23"/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0D7810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по виду деят-ти «Строи-тельство»</w:t>
                  </w:r>
                </w:p>
              </w:tc>
            </w:tr>
          </w:tbl>
          <w:p w:rsidR="001E4617" w:rsidRPr="000D7810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1E4617" w:rsidRPr="000D7810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D7810">
              <w:rPr>
                <w:rFonts w:ascii="Times New Roman" w:hAnsi="Times New Roman"/>
                <w:i/>
                <w:sz w:val="16"/>
                <w:szCs w:val="16"/>
              </w:rPr>
              <w:t>ИПЦ</w:t>
            </w:r>
          </w:p>
        </w:tc>
      </w:tr>
      <w:tr w:rsidR="001E4617" w:rsidRPr="00606949" w:rsidTr="003F23A5">
        <w:trPr>
          <w:trHeight w:val="1928"/>
          <w:jc w:val="center"/>
        </w:trPr>
        <w:tc>
          <w:tcPr>
            <w:tcW w:w="1854" w:type="dxa"/>
            <w:vMerge/>
            <w:vAlign w:val="bottom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bottom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1E4617" w:rsidRPr="000D7810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D7810">
              <w:rPr>
                <w:rFonts w:ascii="Times New Roman" w:hAnsi="Times New Roman"/>
                <w:i/>
                <w:w w:val="99"/>
                <w:sz w:val="16"/>
                <w:szCs w:val="16"/>
              </w:rPr>
              <w:t>Добыча полезных иско</w:t>
            </w:r>
            <w:r w:rsidRPr="000D7810">
              <w:rPr>
                <w:rFonts w:ascii="Times New Roman" w:hAnsi="Times New Roman"/>
                <w:i/>
                <w:sz w:val="16"/>
                <w:szCs w:val="16"/>
              </w:rPr>
              <w:t>пае-мых</w:t>
            </w:r>
          </w:p>
        </w:tc>
        <w:tc>
          <w:tcPr>
            <w:tcW w:w="851" w:type="dxa"/>
          </w:tcPr>
          <w:p w:rsidR="001E4617" w:rsidRPr="000D7810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D7810">
              <w:rPr>
                <w:rFonts w:ascii="Times New Roman" w:hAnsi="Times New Roman"/>
                <w:i/>
                <w:sz w:val="16"/>
                <w:szCs w:val="16"/>
              </w:rPr>
              <w:t xml:space="preserve">Обрабаты-вающие </w:t>
            </w:r>
            <w:r w:rsidRPr="000D7810">
              <w:rPr>
                <w:rFonts w:ascii="Times New Roman" w:hAnsi="Times New Roman"/>
                <w:i/>
                <w:w w:val="99"/>
                <w:sz w:val="16"/>
                <w:szCs w:val="16"/>
              </w:rPr>
              <w:t>производ-</w:t>
            </w:r>
            <w:r w:rsidRPr="000D7810">
              <w:rPr>
                <w:rFonts w:ascii="Times New Roman" w:hAnsi="Times New Roman"/>
                <w:i/>
                <w:sz w:val="16"/>
                <w:szCs w:val="16"/>
              </w:rPr>
              <w:t>ства</w:t>
            </w:r>
          </w:p>
        </w:tc>
        <w:tc>
          <w:tcPr>
            <w:tcW w:w="850" w:type="dxa"/>
          </w:tcPr>
          <w:p w:rsidR="001E4617" w:rsidRPr="000D7810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D7810">
              <w:rPr>
                <w:rFonts w:ascii="Times New Roman" w:hAnsi="Times New Roman"/>
                <w:i/>
                <w:sz w:val="16"/>
                <w:szCs w:val="16"/>
              </w:rPr>
              <w:t>обеспече-ние элек-трической энергией, газом и паром; кондицио-нирование воздуха</w:t>
            </w:r>
          </w:p>
        </w:tc>
        <w:tc>
          <w:tcPr>
            <w:tcW w:w="992" w:type="dxa"/>
          </w:tcPr>
          <w:p w:rsidR="001E4617" w:rsidRPr="000D7810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D7810">
              <w:rPr>
                <w:rFonts w:ascii="Times New Roman" w:hAnsi="Times New Roman"/>
                <w:i/>
                <w:sz w:val="16"/>
                <w:szCs w:val="16"/>
              </w:rPr>
              <w:t>Водоснабж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-</w:t>
            </w:r>
            <w:r w:rsidRPr="000D7810">
              <w:rPr>
                <w:rFonts w:ascii="Times New Roman" w:hAnsi="Times New Roman"/>
                <w:i/>
                <w:sz w:val="16"/>
                <w:szCs w:val="16"/>
              </w:rPr>
              <w:t>ение; водо-отведение, организация сбора и утилизации отходов, деятель-ность по ликвидации загрязнений</w:t>
            </w:r>
          </w:p>
        </w:tc>
        <w:tc>
          <w:tcPr>
            <w:tcW w:w="851" w:type="dxa"/>
            <w:vMerge/>
            <w:vAlign w:val="bottom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bottom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bottom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bottom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bottom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1E4617" w:rsidRPr="00606949" w:rsidTr="003F23A5">
        <w:trPr>
          <w:trHeight w:val="86"/>
          <w:jc w:val="center"/>
        </w:trPr>
        <w:tc>
          <w:tcPr>
            <w:tcW w:w="1854" w:type="dxa"/>
            <w:vAlign w:val="bottom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firstLine="36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657A3">
              <w:rPr>
                <w:rFonts w:ascii="Times New Roman" w:hAnsi="Times New Roman"/>
                <w:b/>
                <w:i/>
                <w:sz w:val="20"/>
                <w:szCs w:val="20"/>
              </w:rPr>
              <w:t>СФО</w:t>
            </w:r>
          </w:p>
        </w:tc>
        <w:tc>
          <w:tcPr>
            <w:tcW w:w="845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850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851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850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992" w:type="dxa"/>
          </w:tcPr>
          <w:p w:rsidR="001E4617" w:rsidRPr="009D6DC5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>107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709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851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567" w:type="dxa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102,9</w:t>
            </w:r>
          </w:p>
        </w:tc>
      </w:tr>
      <w:tr w:rsidR="001E4617" w:rsidRPr="00606949" w:rsidTr="003F23A5">
        <w:trPr>
          <w:trHeight w:val="43"/>
          <w:jc w:val="center"/>
        </w:trPr>
        <w:tc>
          <w:tcPr>
            <w:tcW w:w="1854" w:type="dxa"/>
            <w:vAlign w:val="bottom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6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0657A3">
              <w:rPr>
                <w:rFonts w:ascii="Times New Roman" w:hAnsi="Times New Roman"/>
                <w:i/>
                <w:sz w:val="18"/>
                <w:szCs w:val="18"/>
              </w:rPr>
              <w:t>Республика Алтай</w:t>
            </w:r>
          </w:p>
        </w:tc>
        <w:tc>
          <w:tcPr>
            <w:tcW w:w="845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850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1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0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992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851" w:type="dxa"/>
          </w:tcPr>
          <w:p w:rsidR="001E4617" w:rsidRPr="003C7A17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C7A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709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708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851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83,2</w:t>
            </w:r>
          </w:p>
        </w:tc>
        <w:tc>
          <w:tcPr>
            <w:tcW w:w="567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100,8</w:t>
            </w:r>
          </w:p>
        </w:tc>
      </w:tr>
      <w:tr w:rsidR="001E4617" w:rsidRPr="00606949" w:rsidTr="003F23A5">
        <w:trPr>
          <w:trHeight w:val="43"/>
          <w:jc w:val="center"/>
        </w:trPr>
        <w:tc>
          <w:tcPr>
            <w:tcW w:w="1854" w:type="dxa"/>
            <w:vAlign w:val="bottom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6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0657A3">
              <w:rPr>
                <w:rFonts w:ascii="Times New Roman" w:hAnsi="Times New Roman"/>
                <w:i/>
                <w:sz w:val="18"/>
                <w:szCs w:val="18"/>
              </w:rPr>
              <w:t>Республика Бурятия</w:t>
            </w:r>
          </w:p>
        </w:tc>
        <w:tc>
          <w:tcPr>
            <w:tcW w:w="845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</w:tr>
      <w:tr w:rsidR="001E4617" w:rsidRPr="00606949" w:rsidTr="003F23A5">
        <w:trPr>
          <w:trHeight w:val="43"/>
          <w:jc w:val="center"/>
        </w:trPr>
        <w:tc>
          <w:tcPr>
            <w:tcW w:w="1854" w:type="dxa"/>
            <w:vAlign w:val="bottom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6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0657A3">
              <w:rPr>
                <w:rFonts w:ascii="Times New Roman" w:hAnsi="Times New Roman"/>
                <w:i/>
                <w:sz w:val="18"/>
                <w:szCs w:val="18"/>
              </w:rPr>
              <w:t>Республика Тыва</w:t>
            </w:r>
          </w:p>
        </w:tc>
        <w:tc>
          <w:tcPr>
            <w:tcW w:w="845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850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851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146,5</w:t>
            </w:r>
          </w:p>
        </w:tc>
        <w:tc>
          <w:tcPr>
            <w:tcW w:w="850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107,9</w:t>
            </w:r>
          </w:p>
        </w:tc>
        <w:tc>
          <w:tcPr>
            <w:tcW w:w="992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851" w:type="dxa"/>
          </w:tcPr>
          <w:p w:rsidR="001E4617" w:rsidRPr="003C7A17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C7A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709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708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851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157,4</w:t>
            </w:r>
          </w:p>
        </w:tc>
        <w:tc>
          <w:tcPr>
            <w:tcW w:w="567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102,2</w:t>
            </w:r>
          </w:p>
        </w:tc>
      </w:tr>
      <w:tr w:rsidR="001E4617" w:rsidRPr="00606949" w:rsidTr="003F23A5">
        <w:trPr>
          <w:trHeight w:val="69"/>
          <w:jc w:val="center"/>
        </w:trPr>
        <w:tc>
          <w:tcPr>
            <w:tcW w:w="1854" w:type="dxa"/>
            <w:vAlign w:val="bottom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6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0657A3">
              <w:rPr>
                <w:rFonts w:ascii="Times New Roman" w:hAnsi="Times New Roman"/>
                <w:i/>
                <w:sz w:val="18"/>
                <w:szCs w:val="18"/>
              </w:rPr>
              <w:t>Республика Хакасия</w:t>
            </w:r>
          </w:p>
        </w:tc>
        <w:tc>
          <w:tcPr>
            <w:tcW w:w="845" w:type="dxa"/>
          </w:tcPr>
          <w:p w:rsidR="001E4617" w:rsidRPr="00DD4FC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D4FC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850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851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850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992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851" w:type="dxa"/>
          </w:tcPr>
          <w:p w:rsidR="001E4617" w:rsidRPr="003C7A17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C7A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709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08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119,3</w:t>
            </w:r>
          </w:p>
        </w:tc>
        <w:tc>
          <w:tcPr>
            <w:tcW w:w="851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121,7</w:t>
            </w:r>
          </w:p>
        </w:tc>
        <w:tc>
          <w:tcPr>
            <w:tcW w:w="567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102,6</w:t>
            </w:r>
          </w:p>
        </w:tc>
      </w:tr>
      <w:tr w:rsidR="001E4617" w:rsidRPr="00606949" w:rsidTr="003F23A5">
        <w:trPr>
          <w:trHeight w:val="43"/>
          <w:jc w:val="center"/>
        </w:trPr>
        <w:tc>
          <w:tcPr>
            <w:tcW w:w="1854" w:type="dxa"/>
            <w:vAlign w:val="bottom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6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0657A3">
              <w:rPr>
                <w:rFonts w:ascii="Times New Roman" w:hAnsi="Times New Roman"/>
                <w:i/>
                <w:sz w:val="18"/>
                <w:szCs w:val="18"/>
              </w:rPr>
              <w:t>Алтайский край</w:t>
            </w:r>
          </w:p>
        </w:tc>
        <w:tc>
          <w:tcPr>
            <w:tcW w:w="845" w:type="dxa"/>
          </w:tcPr>
          <w:p w:rsidR="001E4617" w:rsidRPr="00747B10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747B1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850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851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850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92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851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709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708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87,7</w:t>
            </w:r>
          </w:p>
        </w:tc>
        <w:tc>
          <w:tcPr>
            <w:tcW w:w="851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567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102,7</w:t>
            </w:r>
          </w:p>
        </w:tc>
      </w:tr>
      <w:tr w:rsidR="001E4617" w:rsidRPr="00606949" w:rsidTr="003F23A5">
        <w:trPr>
          <w:trHeight w:val="62"/>
          <w:jc w:val="center"/>
        </w:trPr>
        <w:tc>
          <w:tcPr>
            <w:tcW w:w="1854" w:type="dxa"/>
            <w:vAlign w:val="bottom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6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0657A3">
              <w:rPr>
                <w:rFonts w:ascii="Times New Roman" w:hAnsi="Times New Roman"/>
                <w:i/>
                <w:sz w:val="18"/>
                <w:szCs w:val="18"/>
              </w:rPr>
              <w:t>Забайкальский край</w:t>
            </w:r>
          </w:p>
        </w:tc>
        <w:tc>
          <w:tcPr>
            <w:tcW w:w="845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</w:tr>
      <w:tr w:rsidR="001E4617" w:rsidRPr="00606949" w:rsidTr="003F23A5">
        <w:trPr>
          <w:trHeight w:val="43"/>
          <w:jc w:val="center"/>
        </w:trPr>
        <w:tc>
          <w:tcPr>
            <w:tcW w:w="1854" w:type="dxa"/>
            <w:vAlign w:val="bottom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6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0657A3">
              <w:rPr>
                <w:rFonts w:ascii="Times New Roman" w:hAnsi="Times New Roman"/>
                <w:i/>
                <w:sz w:val="18"/>
                <w:szCs w:val="18"/>
              </w:rPr>
              <w:t>Красноярский край</w:t>
            </w:r>
          </w:p>
        </w:tc>
        <w:tc>
          <w:tcPr>
            <w:tcW w:w="845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850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851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850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992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851" w:type="dxa"/>
          </w:tcPr>
          <w:p w:rsidR="001E4617" w:rsidRPr="003C7A17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C7A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709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08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851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567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103,0</w:t>
            </w:r>
          </w:p>
        </w:tc>
      </w:tr>
      <w:tr w:rsidR="001E4617" w:rsidRPr="00606949" w:rsidTr="003F23A5">
        <w:trPr>
          <w:trHeight w:val="43"/>
          <w:jc w:val="center"/>
        </w:trPr>
        <w:tc>
          <w:tcPr>
            <w:tcW w:w="1854" w:type="dxa"/>
            <w:vAlign w:val="bottom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6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0657A3">
              <w:rPr>
                <w:rFonts w:ascii="Times New Roman" w:hAnsi="Times New Roman"/>
                <w:i/>
                <w:sz w:val="18"/>
                <w:szCs w:val="18"/>
              </w:rPr>
              <w:t>Иркутская область</w:t>
            </w:r>
          </w:p>
        </w:tc>
        <w:tc>
          <w:tcPr>
            <w:tcW w:w="845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850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51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850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992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851" w:type="dxa"/>
          </w:tcPr>
          <w:p w:rsidR="001E4617" w:rsidRPr="003C7A17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C7A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709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8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851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567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103,4</w:t>
            </w:r>
          </w:p>
        </w:tc>
      </w:tr>
      <w:tr w:rsidR="001E4617" w:rsidRPr="00606949" w:rsidTr="003F23A5">
        <w:trPr>
          <w:trHeight w:val="43"/>
          <w:jc w:val="center"/>
        </w:trPr>
        <w:tc>
          <w:tcPr>
            <w:tcW w:w="1854" w:type="dxa"/>
            <w:vAlign w:val="bottom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6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0657A3">
              <w:rPr>
                <w:rFonts w:ascii="Times New Roman" w:hAnsi="Times New Roman"/>
                <w:i/>
                <w:sz w:val="18"/>
                <w:szCs w:val="18"/>
              </w:rPr>
              <w:t>Кемеровская область</w:t>
            </w:r>
          </w:p>
        </w:tc>
        <w:tc>
          <w:tcPr>
            <w:tcW w:w="845" w:type="dxa"/>
          </w:tcPr>
          <w:p w:rsidR="001E4617" w:rsidRPr="00DD4FC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D4FC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850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851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850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992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851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709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708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120,5</w:t>
            </w:r>
          </w:p>
        </w:tc>
        <w:tc>
          <w:tcPr>
            <w:tcW w:w="851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567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102,8</w:t>
            </w:r>
          </w:p>
        </w:tc>
      </w:tr>
      <w:tr w:rsidR="001E4617" w:rsidRPr="00606949" w:rsidTr="003F23A5">
        <w:trPr>
          <w:trHeight w:val="43"/>
          <w:jc w:val="center"/>
        </w:trPr>
        <w:tc>
          <w:tcPr>
            <w:tcW w:w="1854" w:type="dxa"/>
            <w:vAlign w:val="bottom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0657A3">
              <w:rPr>
                <w:rFonts w:ascii="Times New Roman" w:hAnsi="Times New Roman"/>
                <w:i/>
                <w:sz w:val="18"/>
                <w:szCs w:val="18"/>
              </w:rPr>
              <w:t>Новосибирская область</w:t>
            </w:r>
          </w:p>
        </w:tc>
        <w:tc>
          <w:tcPr>
            <w:tcW w:w="845" w:type="dxa"/>
          </w:tcPr>
          <w:p w:rsidR="001E4617" w:rsidRPr="00DD4FC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D4FC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850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851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850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992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851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709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08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116,6</w:t>
            </w:r>
          </w:p>
        </w:tc>
        <w:tc>
          <w:tcPr>
            <w:tcW w:w="851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567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102,6</w:t>
            </w:r>
          </w:p>
        </w:tc>
      </w:tr>
      <w:tr w:rsidR="001E4617" w:rsidRPr="00606949" w:rsidTr="003F23A5">
        <w:trPr>
          <w:trHeight w:val="43"/>
          <w:jc w:val="center"/>
        </w:trPr>
        <w:tc>
          <w:tcPr>
            <w:tcW w:w="1854" w:type="dxa"/>
            <w:vAlign w:val="bottom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6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0657A3">
              <w:rPr>
                <w:rFonts w:ascii="Times New Roman" w:hAnsi="Times New Roman"/>
                <w:i/>
                <w:sz w:val="18"/>
                <w:szCs w:val="18"/>
              </w:rPr>
              <w:t>Омская область</w:t>
            </w:r>
          </w:p>
        </w:tc>
        <w:tc>
          <w:tcPr>
            <w:tcW w:w="845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850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851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850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992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851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709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32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708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851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567" w:type="dxa"/>
          </w:tcPr>
          <w:p w:rsidR="001E4617" w:rsidRPr="003D7324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103,1</w:t>
            </w:r>
          </w:p>
        </w:tc>
      </w:tr>
      <w:tr w:rsidR="001E4617" w:rsidRPr="00606949" w:rsidTr="003F23A5">
        <w:trPr>
          <w:trHeight w:val="43"/>
          <w:jc w:val="center"/>
        </w:trPr>
        <w:tc>
          <w:tcPr>
            <w:tcW w:w="1854" w:type="dxa"/>
            <w:vAlign w:val="bottom"/>
          </w:tcPr>
          <w:p w:rsidR="001E4617" w:rsidRPr="000657A3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68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657A3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Томская область</w:t>
            </w:r>
          </w:p>
        </w:tc>
        <w:tc>
          <w:tcPr>
            <w:tcW w:w="845" w:type="dxa"/>
          </w:tcPr>
          <w:p w:rsidR="001E4617" w:rsidRPr="00DD4FC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D4FC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850" w:type="dxa"/>
          </w:tcPr>
          <w:p w:rsidR="001E4617" w:rsidRPr="00DD4FC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D4FC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851" w:type="dxa"/>
          </w:tcPr>
          <w:p w:rsidR="001E4617" w:rsidRPr="00DD4FC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D4FC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850" w:type="dxa"/>
          </w:tcPr>
          <w:p w:rsidR="001E4617" w:rsidRPr="00DD4FC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 w:rsidRPr="00DD4FC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992" w:type="dxa"/>
          </w:tcPr>
          <w:p w:rsidR="001E4617" w:rsidRPr="00DD4FC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D4FC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851" w:type="dxa"/>
          </w:tcPr>
          <w:p w:rsidR="001E4617" w:rsidRPr="00DD4FC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D4FC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709" w:type="dxa"/>
          </w:tcPr>
          <w:p w:rsidR="001E4617" w:rsidRPr="00DD4FC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D4FC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708" w:type="dxa"/>
          </w:tcPr>
          <w:p w:rsidR="001E4617" w:rsidRPr="00DD4FC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D4FC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851" w:type="dxa"/>
          </w:tcPr>
          <w:p w:rsidR="001E4617" w:rsidRPr="00DD4FC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D4FC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122,3</w:t>
            </w:r>
          </w:p>
        </w:tc>
        <w:tc>
          <w:tcPr>
            <w:tcW w:w="567" w:type="dxa"/>
          </w:tcPr>
          <w:p w:rsidR="001E4617" w:rsidRPr="00DD4FCB" w:rsidRDefault="001E4617" w:rsidP="003F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D4FC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102,7</w:t>
            </w:r>
          </w:p>
        </w:tc>
      </w:tr>
    </w:tbl>
    <w:p w:rsidR="001E4617" w:rsidRPr="000657A3" w:rsidRDefault="001E4617" w:rsidP="005E1C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sz w:val="26"/>
          <w:szCs w:val="26"/>
        </w:rPr>
      </w:pPr>
      <w:r w:rsidRPr="000657A3">
        <w:rPr>
          <w:rFonts w:ascii="Times New Roman" w:hAnsi="Times New Roman"/>
          <w:i/>
          <w:sz w:val="26"/>
          <w:szCs w:val="26"/>
        </w:rPr>
        <w:tab/>
      </w:r>
    </w:p>
    <w:p w:rsidR="001E4617" w:rsidRPr="000A299D" w:rsidRDefault="001E4617" w:rsidP="00064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D53E13">
        <w:rPr>
          <w:rFonts w:ascii="Times New Roman" w:hAnsi="Times New Roman"/>
          <w:sz w:val="24"/>
          <w:szCs w:val="24"/>
        </w:rPr>
        <w:t xml:space="preserve">Ввод в действие жилых домов в Томской области в текущем году оказался одним из самых низких (68,8%), при средней величине – 104,4%. Последнее место у Республики Алтай </w:t>
      </w:r>
      <w:r w:rsidRPr="00D53E13">
        <w:rPr>
          <w:rFonts w:ascii="Times New Roman" w:hAnsi="Times New Roman"/>
          <w:sz w:val="24"/>
          <w:szCs w:val="24"/>
        </w:rPr>
        <w:lastRenderedPageBreak/>
        <w:t>(57,2%).</w:t>
      </w:r>
      <w:r w:rsidRPr="00D53E13">
        <w:rPr>
          <w:rFonts w:ascii="Times New Roman" w:hAnsi="Times New Roman"/>
          <w:i/>
          <w:sz w:val="24"/>
          <w:szCs w:val="24"/>
        </w:rPr>
        <w:t xml:space="preserve"> </w:t>
      </w:r>
      <w:r w:rsidRPr="00F978C2">
        <w:rPr>
          <w:rFonts w:ascii="Times New Roman" w:hAnsi="Times New Roman"/>
          <w:sz w:val="24"/>
          <w:szCs w:val="24"/>
        </w:rPr>
        <w:t>Пятое место по показателю индекс потребительских цен Томская область разделила с Алтайским краем (102,7%), при среднем по СФО – 102,9%. Самый высокий индекс у Иркутской области (103,4%), Омской области (103,1%), Красноярского края (103%) и Кемеровской области (102,8%).</w:t>
      </w:r>
    </w:p>
    <w:p w:rsidR="001E4617" w:rsidRPr="00AC11CA" w:rsidRDefault="001E4617" w:rsidP="00064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5F0">
        <w:rPr>
          <w:rFonts w:ascii="Times New Roman" w:hAnsi="Times New Roman"/>
          <w:sz w:val="24"/>
          <w:szCs w:val="24"/>
        </w:rPr>
        <w:t>Анализ расчетов основных показателей вероятного развития экономики области, факторов и ограничений экономического роста подтверждает достоверность применения индексов, реалистичность ожидаемых прогнозов и</w:t>
      </w:r>
      <w:r w:rsidRPr="006225F0">
        <w:rPr>
          <w:rFonts w:ascii="Times New Roman" w:hAnsi="Times New Roman"/>
          <w:sz w:val="26"/>
          <w:szCs w:val="26"/>
        </w:rPr>
        <w:t xml:space="preserve"> </w:t>
      </w:r>
      <w:r w:rsidRPr="006225F0">
        <w:rPr>
          <w:rFonts w:ascii="Times New Roman" w:hAnsi="Times New Roman"/>
          <w:sz w:val="24"/>
          <w:szCs w:val="24"/>
        </w:rPr>
        <w:t>показывает, что</w:t>
      </w:r>
      <w:r>
        <w:rPr>
          <w:rFonts w:ascii="Times New Roman" w:hAnsi="Times New Roman"/>
          <w:sz w:val="24"/>
          <w:szCs w:val="24"/>
        </w:rPr>
        <w:t xml:space="preserve"> благоприятного влияния</w:t>
      </w:r>
      <w:r w:rsidRPr="006225F0">
        <w:rPr>
          <w:rFonts w:ascii="Times New Roman" w:hAnsi="Times New Roman"/>
          <w:i/>
          <w:sz w:val="24"/>
          <w:szCs w:val="24"/>
        </w:rPr>
        <w:t xml:space="preserve"> </w:t>
      </w:r>
      <w:r w:rsidRPr="00AC11CA">
        <w:rPr>
          <w:rFonts w:ascii="Times New Roman" w:hAnsi="Times New Roman"/>
          <w:sz w:val="24"/>
          <w:szCs w:val="24"/>
        </w:rPr>
        <w:t>на восстановление темпов экономического роста по таким видам деятельности, как обрабатывающие производства, строительство, рост объем</w:t>
      </w:r>
      <w:r>
        <w:rPr>
          <w:rFonts w:ascii="Times New Roman" w:hAnsi="Times New Roman"/>
          <w:sz w:val="24"/>
          <w:szCs w:val="24"/>
        </w:rPr>
        <w:t>ов</w:t>
      </w:r>
      <w:r w:rsidRPr="00AC11CA">
        <w:rPr>
          <w:rFonts w:ascii="Times New Roman" w:hAnsi="Times New Roman"/>
          <w:sz w:val="24"/>
          <w:szCs w:val="24"/>
        </w:rPr>
        <w:t xml:space="preserve"> производства продукции сельского хозяйства, розничной торговли и платных услуг населению, </w:t>
      </w:r>
      <w:r>
        <w:rPr>
          <w:rFonts w:ascii="Times New Roman" w:hAnsi="Times New Roman"/>
          <w:sz w:val="24"/>
          <w:szCs w:val="24"/>
        </w:rPr>
        <w:t xml:space="preserve">при </w:t>
      </w:r>
      <w:r w:rsidRPr="00AC11CA">
        <w:rPr>
          <w:rFonts w:ascii="Times New Roman" w:hAnsi="Times New Roman"/>
          <w:sz w:val="24"/>
          <w:szCs w:val="24"/>
        </w:rPr>
        <w:t>уменьшении объемов добычи углеводородного сырья, сохраняющ</w:t>
      </w:r>
      <w:r>
        <w:rPr>
          <w:rFonts w:ascii="Times New Roman" w:hAnsi="Times New Roman"/>
          <w:sz w:val="24"/>
          <w:szCs w:val="24"/>
        </w:rPr>
        <w:t>ейся</w:t>
      </w:r>
      <w:r w:rsidRPr="00AC11CA">
        <w:rPr>
          <w:rFonts w:ascii="Times New Roman" w:hAnsi="Times New Roman"/>
          <w:sz w:val="24"/>
          <w:szCs w:val="24"/>
        </w:rPr>
        <w:t xml:space="preserve"> на низком уровне инвестици</w:t>
      </w:r>
      <w:r>
        <w:rPr>
          <w:rFonts w:ascii="Times New Roman" w:hAnsi="Times New Roman"/>
          <w:sz w:val="24"/>
          <w:szCs w:val="24"/>
        </w:rPr>
        <w:t>онной активности</w:t>
      </w:r>
      <w:r w:rsidRPr="00AC11CA">
        <w:rPr>
          <w:rFonts w:ascii="Times New Roman" w:hAnsi="Times New Roman"/>
          <w:sz w:val="24"/>
          <w:szCs w:val="24"/>
        </w:rPr>
        <w:t xml:space="preserve">, высоком уровне инфляции, повышении тарифов на коммунальные услуги и снижении реально располагаемых денежных доходов населения, будет недостаточно для существенного изменения экономических показателей по итогам года. </w:t>
      </w:r>
    </w:p>
    <w:p w:rsidR="001E4617" w:rsidRDefault="001E4617" w:rsidP="005E1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1E4617" w:rsidRPr="000B4310" w:rsidRDefault="001E4617" w:rsidP="000B4310">
      <w:pPr>
        <w:spacing w:after="0" w:line="288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B4310">
        <w:rPr>
          <w:rFonts w:ascii="Times New Roman" w:hAnsi="Times New Roman"/>
          <w:b/>
          <w:sz w:val="24"/>
          <w:szCs w:val="24"/>
          <w:lang w:eastAsia="ru-RU"/>
        </w:rPr>
        <w:t>4. Оценка достоверности ожидаемого исполнения областного бюджета за текущий год</w:t>
      </w:r>
    </w:p>
    <w:p w:rsidR="001E4617" w:rsidRPr="000B4310" w:rsidRDefault="001E4617" w:rsidP="000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B4310">
        <w:rPr>
          <w:rFonts w:ascii="Times New Roman" w:hAnsi="Times New Roman"/>
          <w:sz w:val="24"/>
          <w:szCs w:val="24"/>
        </w:rPr>
        <w:t>Ожидаемое исполнение областного бюджета за 2019 год в целом по доходам по оценке Администрации может составить 68 149 094,5 тыс.руб. (за 2018 год – 62 112 661,1 тыс.руб.), с темпом роста к уровню 2018 года – 109,72 %, в том числе:</w:t>
      </w:r>
    </w:p>
    <w:p w:rsidR="001E4617" w:rsidRPr="000B4310" w:rsidRDefault="001E4617" w:rsidP="000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4310">
        <w:rPr>
          <w:rFonts w:ascii="Times New Roman" w:hAnsi="Times New Roman"/>
          <w:sz w:val="24"/>
          <w:szCs w:val="24"/>
        </w:rPr>
        <w:t>- по налоговым и неналоговым доходам 50 291 818,3 тыс.руб., с темпом роста 102,0 %,</w:t>
      </w:r>
    </w:p>
    <w:p w:rsidR="001E4617" w:rsidRPr="000B4310" w:rsidRDefault="001E4617" w:rsidP="000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B4310">
        <w:rPr>
          <w:rFonts w:ascii="Times New Roman" w:hAnsi="Times New Roman"/>
          <w:sz w:val="24"/>
          <w:szCs w:val="24"/>
        </w:rPr>
        <w:t>- по безвозмездным поступлениям 17 857 276,2 тыс.руб., с темпом роста 139,2 %.</w:t>
      </w:r>
    </w:p>
    <w:p w:rsidR="001E4617" w:rsidRPr="000B4310" w:rsidRDefault="001E4617" w:rsidP="000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4310">
        <w:rPr>
          <w:rFonts w:ascii="Times New Roman" w:hAnsi="Times New Roman"/>
          <w:sz w:val="24"/>
          <w:szCs w:val="24"/>
        </w:rPr>
        <w:t>Учитывая текущие показатели развития экономики, Контрольно-счетной палатой произведена оценка ожидаемого исполнения областного бюджета в 2019 году по отдельным видам налоговых и неналоговых поступлений.</w:t>
      </w:r>
    </w:p>
    <w:p w:rsidR="001E4617" w:rsidRPr="000B4310" w:rsidRDefault="001E4617" w:rsidP="000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B4310">
        <w:rPr>
          <w:rFonts w:ascii="Times New Roman" w:hAnsi="Times New Roman"/>
          <w:sz w:val="24"/>
          <w:szCs w:val="24"/>
          <w:u w:val="single"/>
        </w:rPr>
        <w:t>Налог на прибыль</w:t>
      </w:r>
    </w:p>
    <w:p w:rsidR="001E4617" w:rsidRPr="000B4310" w:rsidRDefault="001E4617" w:rsidP="000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4310">
        <w:rPr>
          <w:rFonts w:ascii="Times New Roman" w:hAnsi="Times New Roman"/>
          <w:sz w:val="24"/>
          <w:szCs w:val="24"/>
        </w:rPr>
        <w:t xml:space="preserve">Согласно отчетности Департамента финансов Томской области поступление по налогу на прибыль организаций за 8 месяцев 2019 года в областной бюджет составили 11 474,5 млн.руб. (темп роста в аналогичному периоду 2018 года составил 106,8 %), в т.ч. поступления  налога по организациям (за исключением КГН) – 7 617,7 млн.руб., поступления налога по организациям КГН – 3 856,6 млн.руб. </w:t>
      </w:r>
    </w:p>
    <w:p w:rsidR="001E4617" w:rsidRPr="000B4310" w:rsidRDefault="001E4617" w:rsidP="000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4310">
        <w:rPr>
          <w:rFonts w:ascii="Times New Roman" w:hAnsi="Times New Roman"/>
          <w:sz w:val="24"/>
          <w:szCs w:val="24"/>
        </w:rPr>
        <w:t>Средний объем поступлений за сентябрь – декабрь 2017 и 2018 годов по организациям (за исключением КГН) составил 4 132,3 млн.руб., по организациям КГН – 1 094,2 млн.руб.</w:t>
      </w:r>
    </w:p>
    <w:p w:rsidR="001E4617" w:rsidRPr="000B4310" w:rsidRDefault="001E4617" w:rsidP="000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4310">
        <w:rPr>
          <w:rFonts w:ascii="Times New Roman" w:hAnsi="Times New Roman"/>
          <w:sz w:val="24"/>
          <w:szCs w:val="24"/>
        </w:rPr>
        <w:t>Сохранение темпов роста налоговых поступлений в сентябре – декабре текущего года в объеме не ниже среднего объема поступлений за сентябрь – декабрь 2017-2018 гг. может обеспечить объем поступлений в размере до 17 254,7 млн.руб. (- 135 млн.руб. к прогнозной оценке Администрации).</w:t>
      </w:r>
    </w:p>
    <w:p w:rsidR="001E4617" w:rsidRPr="000B4310" w:rsidRDefault="001E4617" w:rsidP="000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B4310">
        <w:rPr>
          <w:rFonts w:ascii="Times New Roman" w:hAnsi="Times New Roman"/>
          <w:sz w:val="24"/>
          <w:szCs w:val="24"/>
          <w:u w:val="single"/>
        </w:rPr>
        <w:t>Налог на доходы физических лиц</w:t>
      </w:r>
    </w:p>
    <w:p w:rsidR="001E4617" w:rsidRPr="000B4310" w:rsidRDefault="001E4617" w:rsidP="000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4310">
        <w:rPr>
          <w:rFonts w:ascii="Times New Roman" w:hAnsi="Times New Roman"/>
          <w:sz w:val="24"/>
          <w:szCs w:val="24"/>
        </w:rPr>
        <w:t>За 8 месяцев текущего года объем поступлений по налогу на доходы физических лиц в консолидированный бюджет составил 13 945,7 млн.руб. (областной бюджет – 9 758,6 млн.руб.), с темпом роста к аналогичному периоду прошлого года 105,2 %. Учитывая объемы поступлений по налогу за 2017 – 2018 гг., и за 8 месяцев в указанных периодах, а также темпы роста фактических поступлений в текущем году, предполагаемый оценочный объем НФДЛ по итогам года, может составить не ниже 22 462,</w:t>
      </w:r>
      <w:r>
        <w:rPr>
          <w:rFonts w:ascii="Times New Roman" w:hAnsi="Times New Roman"/>
          <w:sz w:val="24"/>
          <w:szCs w:val="24"/>
        </w:rPr>
        <w:t xml:space="preserve">4 млн.руб. (15 723,7 млн.руб., - </w:t>
      </w:r>
      <w:r w:rsidRPr="000B4310">
        <w:rPr>
          <w:rFonts w:ascii="Times New Roman" w:hAnsi="Times New Roman"/>
          <w:sz w:val="24"/>
          <w:szCs w:val="24"/>
        </w:rPr>
        <w:t>97 млн.руб. к оценке Администрации).</w:t>
      </w:r>
    </w:p>
    <w:p w:rsidR="001E4617" w:rsidRPr="000B4310" w:rsidRDefault="001E4617" w:rsidP="000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B4310">
        <w:rPr>
          <w:rFonts w:ascii="Times New Roman" w:hAnsi="Times New Roman"/>
          <w:sz w:val="24"/>
          <w:szCs w:val="24"/>
          <w:u w:val="single"/>
        </w:rPr>
        <w:t>Налог на имущество организаций</w:t>
      </w:r>
    </w:p>
    <w:p w:rsidR="001E4617" w:rsidRPr="000B4310" w:rsidRDefault="001E4617" w:rsidP="000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4310">
        <w:rPr>
          <w:rFonts w:ascii="Times New Roman" w:hAnsi="Times New Roman"/>
          <w:sz w:val="24"/>
          <w:szCs w:val="24"/>
        </w:rPr>
        <w:t>За 8 месяцев текущего года объем поступлений по налогу на имущество организаций составил 4 733,8 млн.руб. (темп роста к аналогичному периоду прошлого года – 92,2 %). Учитывая объемы поступлений по налогу за 2016 – 2018 гг., и за 8 месяцев в указанных периодах, темпы роста фактических поступлений в текущем году, а также оценку УФНС по Томской области</w:t>
      </w:r>
      <w:r>
        <w:rPr>
          <w:rFonts w:ascii="Times New Roman" w:hAnsi="Times New Roman"/>
          <w:sz w:val="24"/>
          <w:szCs w:val="24"/>
        </w:rPr>
        <w:t>,</w:t>
      </w:r>
      <w:r w:rsidRPr="000B4310">
        <w:rPr>
          <w:rFonts w:ascii="Times New Roman" w:hAnsi="Times New Roman"/>
          <w:sz w:val="24"/>
          <w:szCs w:val="24"/>
        </w:rPr>
        <w:t xml:space="preserve"> предполагаемый оценочный объем по налогу на имущество организаций</w:t>
      </w:r>
      <w:r>
        <w:rPr>
          <w:rFonts w:ascii="Times New Roman" w:hAnsi="Times New Roman"/>
          <w:sz w:val="24"/>
          <w:szCs w:val="24"/>
        </w:rPr>
        <w:t xml:space="preserve"> может составить в пределах 6 107 млн.руб. (+ 386</w:t>
      </w:r>
      <w:r w:rsidRPr="000B4310">
        <w:rPr>
          <w:rFonts w:ascii="Times New Roman" w:hAnsi="Times New Roman"/>
          <w:sz w:val="24"/>
          <w:szCs w:val="24"/>
        </w:rPr>
        <w:t>,5 млн.руб. к оценке Администрации).</w:t>
      </w:r>
    </w:p>
    <w:p w:rsidR="001E4617" w:rsidRPr="000B4310" w:rsidRDefault="001E4617" w:rsidP="000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B4310">
        <w:rPr>
          <w:rFonts w:ascii="Times New Roman" w:hAnsi="Times New Roman"/>
          <w:sz w:val="24"/>
          <w:szCs w:val="24"/>
          <w:u w:val="single"/>
        </w:rPr>
        <w:lastRenderedPageBreak/>
        <w:t>Транспортный налог</w:t>
      </w:r>
    </w:p>
    <w:p w:rsidR="001E4617" w:rsidRPr="000B4310" w:rsidRDefault="001E4617" w:rsidP="000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4310">
        <w:rPr>
          <w:rFonts w:ascii="Times New Roman" w:hAnsi="Times New Roman"/>
          <w:sz w:val="24"/>
          <w:szCs w:val="24"/>
        </w:rPr>
        <w:t>По состоянию на 1 сентября 2018 года по данному виду налога в доход областного бюджета зачислено 373 124,7 тыс.руб., темп роста составил 127,5 %.</w:t>
      </w:r>
    </w:p>
    <w:p w:rsidR="001E4617" w:rsidRPr="000B4310" w:rsidRDefault="001E4617" w:rsidP="000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4310">
        <w:rPr>
          <w:rFonts w:ascii="Times New Roman" w:hAnsi="Times New Roman"/>
          <w:sz w:val="24"/>
          <w:szCs w:val="24"/>
        </w:rPr>
        <w:t>С учетом фактических объемов поступлений в 2016-2018 гг. и за 8 месяцев текущего года ожидаемый объем поступлений по транспортному налогу до конца года может составить 974 950,8 тыс.руб. (+ 5 841,3 тыс.руб. к оценке Администрации).</w:t>
      </w:r>
    </w:p>
    <w:p w:rsidR="001E4617" w:rsidRPr="000B4310" w:rsidRDefault="001E4617" w:rsidP="000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B4310">
        <w:rPr>
          <w:rFonts w:ascii="Times New Roman" w:hAnsi="Times New Roman"/>
          <w:sz w:val="24"/>
          <w:szCs w:val="24"/>
          <w:u w:val="single"/>
        </w:rPr>
        <w:t>Платежи при пользовании природными ресурсами</w:t>
      </w:r>
    </w:p>
    <w:p w:rsidR="001E4617" w:rsidRPr="000B4310" w:rsidRDefault="001E4617" w:rsidP="000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4310">
        <w:rPr>
          <w:rFonts w:ascii="Times New Roman" w:hAnsi="Times New Roman"/>
          <w:sz w:val="24"/>
          <w:szCs w:val="24"/>
        </w:rPr>
        <w:t>С учетом фактических объемов поступлений по платежам за негативное воздействие на окружающую среду, регулярным платежам при пользовании недрами и плате за использование лесов в 2016-2018 гг. и за 8 месяцев текущего года ожидаемый объем поступлений по платежам при пользовании природными ресурсами в областной бюджет до конца года может составить 521 139,2 тыс.руб. (+ 818 тыс.руб. к оценке Администрации), в т.ч.:</w:t>
      </w:r>
    </w:p>
    <w:p w:rsidR="001E4617" w:rsidRPr="000B4310" w:rsidRDefault="001E4617" w:rsidP="000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4310">
        <w:rPr>
          <w:rFonts w:ascii="Times New Roman" w:hAnsi="Times New Roman"/>
          <w:sz w:val="24"/>
          <w:szCs w:val="24"/>
        </w:rPr>
        <w:t>- 52 459,6 тыс.руб. (соответствует оценке Администрации) плата за негативное воздействие на окружающую среду;</w:t>
      </w:r>
    </w:p>
    <w:p w:rsidR="001E4617" w:rsidRPr="000B4310" w:rsidRDefault="001E4617" w:rsidP="000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4310">
        <w:rPr>
          <w:rFonts w:ascii="Times New Roman" w:hAnsi="Times New Roman"/>
          <w:sz w:val="24"/>
          <w:szCs w:val="24"/>
        </w:rPr>
        <w:t>- 2 490,7 тыс.руб. (соответствует оценке Администрации) разовые платежи при пользовании недрами;</w:t>
      </w:r>
    </w:p>
    <w:p w:rsidR="001E4617" w:rsidRPr="000B4310" w:rsidRDefault="001E4617" w:rsidP="000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4310">
        <w:rPr>
          <w:rFonts w:ascii="Times New Roman" w:hAnsi="Times New Roman"/>
          <w:sz w:val="24"/>
          <w:szCs w:val="24"/>
        </w:rPr>
        <w:t>- 25 863 тыс.руб. (+ 818 тыс.руб. к оценке Администрации) регулярные платежи при пользовании недрами;</w:t>
      </w:r>
    </w:p>
    <w:p w:rsidR="001E4617" w:rsidRPr="000B4310" w:rsidRDefault="001E4617" w:rsidP="000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4310">
        <w:rPr>
          <w:rFonts w:ascii="Times New Roman" w:hAnsi="Times New Roman"/>
          <w:sz w:val="24"/>
          <w:szCs w:val="24"/>
        </w:rPr>
        <w:t>- 195 тыс.руб. (соответствует оценке Администрации) плата за проведение госэкспертизы;</w:t>
      </w:r>
    </w:p>
    <w:p w:rsidR="001E4617" w:rsidRPr="000B4310" w:rsidRDefault="001E4617" w:rsidP="000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4310">
        <w:rPr>
          <w:rFonts w:ascii="Times New Roman" w:hAnsi="Times New Roman"/>
          <w:sz w:val="24"/>
          <w:szCs w:val="24"/>
        </w:rPr>
        <w:t>- 210,5 тыс.руб. (соответствует оценке Администрации) сборы за участие в конкурсе (аукционе);</w:t>
      </w:r>
    </w:p>
    <w:p w:rsidR="001E4617" w:rsidRPr="000B4310" w:rsidRDefault="001E4617" w:rsidP="000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4310">
        <w:rPr>
          <w:rFonts w:ascii="Times New Roman" w:hAnsi="Times New Roman"/>
          <w:sz w:val="24"/>
          <w:szCs w:val="24"/>
        </w:rPr>
        <w:t>- 439 920,4 тыс.руб. (соответствует оценке Администрации) - плата за использование лесов.</w:t>
      </w:r>
    </w:p>
    <w:p w:rsidR="001E4617" w:rsidRPr="000B4310" w:rsidRDefault="001E4617" w:rsidP="000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B4310">
        <w:rPr>
          <w:rFonts w:ascii="Times New Roman" w:hAnsi="Times New Roman"/>
          <w:sz w:val="24"/>
          <w:szCs w:val="24"/>
          <w:u w:val="single"/>
        </w:rPr>
        <w:t>Доходы от оказания платных услуг (работ) и компенсации затрат государства</w:t>
      </w:r>
    </w:p>
    <w:p w:rsidR="001E4617" w:rsidRPr="000B4310" w:rsidRDefault="001E4617" w:rsidP="000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4310">
        <w:rPr>
          <w:rFonts w:ascii="Times New Roman" w:hAnsi="Times New Roman"/>
          <w:sz w:val="24"/>
          <w:szCs w:val="24"/>
        </w:rPr>
        <w:t>С учетом фактических объемов поступлений по доходам от компенсации затрат государства и доходам от оказания платных услуг в 2016-2018 гг. и за 8 месяцев текущего года (66 770,3 тыс.руб.) ожидаемый объем поступлений по доходам от оказания платных услуг (работ) и компенсации затрат государства в доход областного бюджета до конца года может достигнуть уровня 2018 года, т.е. не ниже 94 368,7 тыс.руб. (+12 705,7 тыс.руб. к оценке Администрации).</w:t>
      </w:r>
    </w:p>
    <w:p w:rsidR="001E4617" w:rsidRPr="0083102F" w:rsidRDefault="001E4617" w:rsidP="006B3580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102F">
        <w:rPr>
          <w:rFonts w:ascii="Times New Roman" w:hAnsi="Times New Roman"/>
          <w:sz w:val="24"/>
          <w:szCs w:val="24"/>
        </w:rPr>
        <w:t>Оценка ожидаемого исполнения по иным доходным источникам, в том числе по доходам от использования имущества, приведена в соответствующих подразделах раздела 5 настоящего заключения.</w:t>
      </w:r>
    </w:p>
    <w:p w:rsidR="001E4617" w:rsidRPr="0083102F" w:rsidRDefault="001E4617" w:rsidP="008310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4617" w:rsidRPr="0083102F" w:rsidRDefault="001E4617" w:rsidP="00831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3102F">
        <w:rPr>
          <w:rFonts w:ascii="Times New Roman" w:hAnsi="Times New Roman"/>
          <w:b/>
          <w:sz w:val="24"/>
          <w:szCs w:val="24"/>
          <w:lang w:eastAsia="ru-RU"/>
        </w:rPr>
        <w:t>5. Доходы областного бюджета</w:t>
      </w:r>
    </w:p>
    <w:p w:rsidR="001E4617" w:rsidRPr="0083102F" w:rsidRDefault="001E4617" w:rsidP="008310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E4617" w:rsidRPr="0083102F" w:rsidRDefault="001E4617" w:rsidP="0083102F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3102F">
        <w:rPr>
          <w:rFonts w:ascii="Times New Roman" w:hAnsi="Times New Roman"/>
          <w:b/>
          <w:sz w:val="24"/>
          <w:szCs w:val="24"/>
          <w:lang w:eastAsia="ru-RU"/>
        </w:rPr>
        <w:t>5.1. Налог на прибыль организаций</w:t>
      </w:r>
    </w:p>
    <w:p w:rsidR="001E4617" w:rsidRPr="00FC7591" w:rsidRDefault="001E4617" w:rsidP="00FC75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7591">
        <w:rPr>
          <w:rFonts w:ascii="Times New Roman" w:hAnsi="Times New Roman"/>
          <w:sz w:val="24"/>
          <w:szCs w:val="24"/>
        </w:rPr>
        <w:t>В материалах и документах к законопроекту поступление налога на прибыль организаций в областной бюджет прогнозируется в следующих объемах:</w:t>
      </w:r>
    </w:p>
    <w:p w:rsidR="001E4617" w:rsidRPr="00FC7591" w:rsidRDefault="001E4617" w:rsidP="00FC759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7591">
        <w:rPr>
          <w:rFonts w:ascii="Times New Roman" w:hAnsi="Times New Roman"/>
          <w:sz w:val="24"/>
          <w:szCs w:val="24"/>
        </w:rPr>
        <w:t>- на 20</w:t>
      </w:r>
      <w:r>
        <w:rPr>
          <w:rFonts w:ascii="Times New Roman" w:hAnsi="Times New Roman"/>
          <w:sz w:val="24"/>
          <w:szCs w:val="24"/>
        </w:rPr>
        <w:t>20</w:t>
      </w:r>
      <w:r w:rsidRPr="00FC7591">
        <w:rPr>
          <w:rFonts w:ascii="Times New Roman" w:hAnsi="Times New Roman"/>
          <w:sz w:val="24"/>
          <w:szCs w:val="24"/>
        </w:rPr>
        <w:t xml:space="preserve"> год – 1</w:t>
      </w:r>
      <w:r>
        <w:rPr>
          <w:rFonts w:ascii="Times New Roman" w:hAnsi="Times New Roman"/>
          <w:sz w:val="24"/>
          <w:szCs w:val="24"/>
        </w:rPr>
        <w:t>7 934,4</w:t>
      </w:r>
      <w:r w:rsidRPr="00FC7591">
        <w:rPr>
          <w:rFonts w:ascii="Times New Roman" w:hAnsi="Times New Roman"/>
          <w:sz w:val="24"/>
          <w:szCs w:val="24"/>
        </w:rPr>
        <w:t> млн.руб., с темпом роста 10</w:t>
      </w:r>
      <w:r>
        <w:rPr>
          <w:rFonts w:ascii="Times New Roman" w:hAnsi="Times New Roman"/>
          <w:sz w:val="24"/>
          <w:szCs w:val="24"/>
        </w:rPr>
        <w:t>3,1</w:t>
      </w:r>
      <w:r w:rsidRPr="00FC7591">
        <w:rPr>
          <w:rFonts w:ascii="Times New Roman" w:hAnsi="Times New Roman"/>
          <w:sz w:val="24"/>
          <w:szCs w:val="24"/>
        </w:rPr>
        <w:t xml:space="preserve"> %;</w:t>
      </w:r>
    </w:p>
    <w:p w:rsidR="001E4617" w:rsidRPr="00FC7591" w:rsidRDefault="001E4617" w:rsidP="00FC759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2021</w:t>
      </w:r>
      <w:r w:rsidRPr="00FC7591">
        <w:rPr>
          <w:rFonts w:ascii="Times New Roman" w:hAnsi="Times New Roman"/>
          <w:sz w:val="24"/>
          <w:szCs w:val="24"/>
        </w:rPr>
        <w:t xml:space="preserve"> год – 1</w:t>
      </w:r>
      <w:r>
        <w:rPr>
          <w:rFonts w:ascii="Times New Roman" w:hAnsi="Times New Roman"/>
          <w:sz w:val="24"/>
          <w:szCs w:val="24"/>
        </w:rPr>
        <w:t>7 951,</w:t>
      </w:r>
      <w:r w:rsidRPr="00FC7591">
        <w:rPr>
          <w:rFonts w:ascii="Times New Roman" w:hAnsi="Times New Roman"/>
          <w:sz w:val="24"/>
          <w:szCs w:val="24"/>
        </w:rPr>
        <w:t>8 млн.руб., с темпом роста 10</w:t>
      </w:r>
      <w:r>
        <w:rPr>
          <w:rFonts w:ascii="Times New Roman" w:hAnsi="Times New Roman"/>
          <w:sz w:val="24"/>
          <w:szCs w:val="24"/>
        </w:rPr>
        <w:t>0,1</w:t>
      </w:r>
      <w:r w:rsidRPr="00FC7591">
        <w:rPr>
          <w:rFonts w:ascii="Times New Roman" w:hAnsi="Times New Roman"/>
          <w:sz w:val="24"/>
          <w:szCs w:val="24"/>
        </w:rPr>
        <w:t xml:space="preserve"> %;</w:t>
      </w:r>
    </w:p>
    <w:p w:rsidR="001E4617" w:rsidRPr="00FC7591" w:rsidRDefault="001E4617" w:rsidP="00FC759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7591">
        <w:rPr>
          <w:rFonts w:ascii="Times New Roman" w:hAnsi="Times New Roman"/>
          <w:sz w:val="24"/>
          <w:szCs w:val="24"/>
        </w:rPr>
        <w:t>- на 202</w:t>
      </w:r>
      <w:r>
        <w:rPr>
          <w:rFonts w:ascii="Times New Roman" w:hAnsi="Times New Roman"/>
          <w:sz w:val="24"/>
          <w:szCs w:val="24"/>
        </w:rPr>
        <w:t>2</w:t>
      </w:r>
      <w:r w:rsidRPr="00FC7591">
        <w:rPr>
          <w:rFonts w:ascii="Times New Roman" w:hAnsi="Times New Roman"/>
          <w:sz w:val="24"/>
          <w:szCs w:val="24"/>
        </w:rPr>
        <w:t xml:space="preserve"> год – 1</w:t>
      </w:r>
      <w:r>
        <w:rPr>
          <w:rFonts w:ascii="Times New Roman" w:hAnsi="Times New Roman"/>
          <w:sz w:val="24"/>
          <w:szCs w:val="24"/>
        </w:rPr>
        <w:t>8 406,7</w:t>
      </w:r>
      <w:r w:rsidRPr="00FC7591">
        <w:rPr>
          <w:rFonts w:ascii="Times New Roman" w:hAnsi="Times New Roman"/>
          <w:sz w:val="24"/>
          <w:szCs w:val="24"/>
        </w:rPr>
        <w:t xml:space="preserve"> млн.руб., с темпом роста 10</w:t>
      </w:r>
      <w:r>
        <w:rPr>
          <w:rFonts w:ascii="Times New Roman" w:hAnsi="Times New Roman"/>
          <w:sz w:val="24"/>
          <w:szCs w:val="24"/>
        </w:rPr>
        <w:t>2,5</w:t>
      </w:r>
      <w:r w:rsidRPr="00FC7591">
        <w:rPr>
          <w:rFonts w:ascii="Times New Roman" w:hAnsi="Times New Roman"/>
          <w:sz w:val="24"/>
          <w:szCs w:val="24"/>
        </w:rPr>
        <w:t xml:space="preserve"> %.</w:t>
      </w:r>
    </w:p>
    <w:p w:rsidR="001E4617" w:rsidRDefault="001E4617" w:rsidP="00FC75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7591">
        <w:rPr>
          <w:rFonts w:ascii="Times New Roman" w:hAnsi="Times New Roman"/>
          <w:sz w:val="24"/>
          <w:szCs w:val="24"/>
        </w:rPr>
        <w:t>Контрольно-счетной палатой проведен анализ расчета налога на прибыль организаций на период 20</w:t>
      </w:r>
      <w:r>
        <w:rPr>
          <w:rFonts w:ascii="Times New Roman" w:hAnsi="Times New Roman"/>
          <w:sz w:val="24"/>
          <w:szCs w:val="24"/>
        </w:rPr>
        <w:t>20</w:t>
      </w:r>
      <w:r w:rsidRPr="00FC759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FC7591">
        <w:rPr>
          <w:rFonts w:ascii="Times New Roman" w:hAnsi="Times New Roman"/>
          <w:sz w:val="24"/>
          <w:szCs w:val="24"/>
        </w:rPr>
        <w:t xml:space="preserve"> гг. по критериям и с учетом обстоятельств, указанных в материалах к законопроекту, с использованием открытой информации Управления ФНС России по Томской области, а также с учетом рассчитанного ожидаемого объема поступлений за 201</w:t>
      </w:r>
      <w:r>
        <w:rPr>
          <w:rFonts w:ascii="Times New Roman" w:hAnsi="Times New Roman"/>
          <w:sz w:val="24"/>
          <w:szCs w:val="24"/>
        </w:rPr>
        <w:t>9</w:t>
      </w:r>
      <w:r w:rsidRPr="00FC7591">
        <w:rPr>
          <w:rFonts w:ascii="Times New Roman" w:hAnsi="Times New Roman"/>
          <w:sz w:val="24"/>
          <w:szCs w:val="24"/>
        </w:rPr>
        <w:t xml:space="preserve"> год.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7591">
        <w:rPr>
          <w:rFonts w:ascii="Times New Roman" w:hAnsi="Times New Roman"/>
          <w:sz w:val="24"/>
          <w:szCs w:val="24"/>
        </w:rPr>
        <w:t>Прогнозное значение поступлений по налогу на прибыль на 20</w:t>
      </w:r>
      <w:r>
        <w:rPr>
          <w:rFonts w:ascii="Times New Roman" w:hAnsi="Times New Roman"/>
          <w:sz w:val="24"/>
          <w:szCs w:val="24"/>
        </w:rPr>
        <w:t>20</w:t>
      </w:r>
      <w:r w:rsidRPr="00FC7591">
        <w:rPr>
          <w:rFonts w:ascii="Times New Roman" w:hAnsi="Times New Roman"/>
          <w:sz w:val="24"/>
          <w:szCs w:val="24"/>
        </w:rPr>
        <w:t xml:space="preserve"> год по оценке палаты </w:t>
      </w:r>
      <w:r>
        <w:rPr>
          <w:rFonts w:ascii="Times New Roman" w:hAnsi="Times New Roman"/>
          <w:sz w:val="24"/>
          <w:szCs w:val="24"/>
        </w:rPr>
        <w:t xml:space="preserve">практически </w:t>
      </w:r>
      <w:r w:rsidRPr="006E03AE">
        <w:rPr>
          <w:rFonts w:ascii="Times New Roman" w:hAnsi="Times New Roman"/>
          <w:sz w:val="24"/>
          <w:szCs w:val="24"/>
          <w:u w:val="single"/>
        </w:rPr>
        <w:t>совпадает с прогнозом</w:t>
      </w:r>
      <w:r>
        <w:rPr>
          <w:rFonts w:ascii="Times New Roman" w:hAnsi="Times New Roman"/>
          <w:sz w:val="24"/>
          <w:szCs w:val="24"/>
        </w:rPr>
        <w:t xml:space="preserve"> Администрации, на 2021 год </w:t>
      </w:r>
      <w:r w:rsidRPr="00FC7591">
        <w:rPr>
          <w:rFonts w:ascii="Times New Roman" w:hAnsi="Times New Roman"/>
          <w:sz w:val="24"/>
          <w:szCs w:val="24"/>
        </w:rPr>
        <w:t>может составить</w:t>
      </w:r>
      <w:r w:rsidRPr="00FC75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18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FC7591">
        <w:rPr>
          <w:rFonts w:ascii="Times New Roman" w:hAnsi="Times New Roman"/>
          <w:color w:val="000000"/>
          <w:sz w:val="24"/>
          <w:szCs w:val="24"/>
          <w:lang w:eastAsia="ru-RU"/>
        </w:rPr>
        <w:t>537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,3</w:t>
      </w:r>
      <w:r w:rsidRPr="00FC75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FC7591">
        <w:rPr>
          <w:rFonts w:ascii="Times New Roman" w:hAnsi="Times New Roman"/>
          <w:sz w:val="24"/>
          <w:szCs w:val="24"/>
        </w:rPr>
        <w:t>млн.руб</w:t>
      </w:r>
      <w:r>
        <w:rPr>
          <w:rFonts w:ascii="Times New Roman" w:hAnsi="Times New Roman"/>
          <w:sz w:val="24"/>
          <w:szCs w:val="24"/>
        </w:rPr>
        <w:t xml:space="preserve">. (+ 585,4 </w:t>
      </w:r>
      <w:r w:rsidRPr="00FC7591">
        <w:rPr>
          <w:rFonts w:ascii="Times New Roman" w:hAnsi="Times New Roman"/>
          <w:sz w:val="24"/>
          <w:szCs w:val="24"/>
        </w:rPr>
        <w:t>млн.руб. к прогнозу Администрации), на 202</w:t>
      </w:r>
      <w:r>
        <w:rPr>
          <w:rFonts w:ascii="Times New Roman" w:hAnsi="Times New Roman"/>
          <w:sz w:val="24"/>
          <w:szCs w:val="24"/>
        </w:rPr>
        <w:t xml:space="preserve">2 </w:t>
      </w:r>
      <w:r w:rsidRPr="00FC7591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C75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19 260,2 </w:t>
      </w:r>
      <w:r w:rsidRPr="00FC7591">
        <w:rPr>
          <w:rFonts w:ascii="Times New Roman" w:hAnsi="Times New Roman"/>
          <w:sz w:val="24"/>
          <w:szCs w:val="24"/>
        </w:rPr>
        <w:t xml:space="preserve">млн.руб. </w:t>
      </w:r>
      <w:r>
        <w:rPr>
          <w:rFonts w:ascii="Times New Roman" w:hAnsi="Times New Roman"/>
          <w:sz w:val="24"/>
          <w:szCs w:val="24"/>
        </w:rPr>
        <w:t>(+853,5 млн.руб.</w:t>
      </w:r>
      <w:r w:rsidRPr="00FC759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584802" w:rsidRPr="0083102F" w:rsidRDefault="00584802" w:rsidP="00FC75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4617" w:rsidRDefault="001E4617" w:rsidP="0049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4617" w:rsidRPr="00937370" w:rsidRDefault="001E4617" w:rsidP="00831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102F">
        <w:rPr>
          <w:rFonts w:ascii="Times New Roman" w:hAnsi="Times New Roman"/>
          <w:b/>
          <w:sz w:val="24"/>
          <w:szCs w:val="24"/>
        </w:rPr>
        <w:lastRenderedPageBreak/>
        <w:t>5.2 Налог на доходы физических лиц.</w:t>
      </w:r>
    </w:p>
    <w:p w:rsidR="001E4617" w:rsidRDefault="001E4617" w:rsidP="00831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4617" w:rsidRPr="00D72F2F" w:rsidRDefault="001E4617" w:rsidP="00D72F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2F2F">
        <w:rPr>
          <w:rFonts w:ascii="Times New Roman" w:hAnsi="Times New Roman"/>
          <w:sz w:val="24"/>
          <w:szCs w:val="24"/>
        </w:rPr>
        <w:t>В материалах и документах к законопроекту поступление налога на доходы физических лиц в консолидированный бюджет прогнозируется в следующих объемах:</w:t>
      </w:r>
    </w:p>
    <w:p w:rsidR="001E4617" w:rsidRPr="00D72F2F" w:rsidRDefault="001E4617" w:rsidP="00D72F2F">
      <w:pPr>
        <w:widowControl w:val="0"/>
        <w:autoSpaceDE w:val="0"/>
        <w:autoSpaceDN w:val="0"/>
        <w:adjustRightInd w:val="0"/>
        <w:spacing w:after="0" w:line="240" w:lineRule="auto"/>
        <w:ind w:right="-1" w:firstLine="360"/>
        <w:jc w:val="both"/>
        <w:rPr>
          <w:rFonts w:ascii="Times New Roman" w:hAnsi="Times New Roman"/>
          <w:sz w:val="24"/>
          <w:szCs w:val="24"/>
        </w:rPr>
      </w:pPr>
      <w:r w:rsidRPr="00D72F2F">
        <w:rPr>
          <w:rFonts w:ascii="Times New Roman" w:hAnsi="Times New Roman"/>
          <w:sz w:val="24"/>
          <w:szCs w:val="24"/>
        </w:rPr>
        <w:t>- на 20</w:t>
      </w:r>
      <w:r w:rsidRPr="00671CCB">
        <w:rPr>
          <w:rFonts w:ascii="Times New Roman" w:hAnsi="Times New Roman"/>
          <w:sz w:val="24"/>
          <w:szCs w:val="24"/>
        </w:rPr>
        <w:t>20</w:t>
      </w:r>
      <w:r w:rsidRPr="00D72F2F">
        <w:rPr>
          <w:rFonts w:ascii="Times New Roman" w:hAnsi="Times New Roman"/>
          <w:sz w:val="24"/>
          <w:szCs w:val="24"/>
        </w:rPr>
        <w:t xml:space="preserve"> год – 2</w:t>
      </w:r>
      <w:r>
        <w:rPr>
          <w:rFonts w:ascii="Times New Roman" w:hAnsi="Times New Roman"/>
          <w:sz w:val="24"/>
          <w:szCs w:val="24"/>
        </w:rPr>
        <w:t>4 180,6</w:t>
      </w:r>
      <w:r w:rsidRPr="00D72F2F">
        <w:rPr>
          <w:rFonts w:ascii="Times New Roman" w:hAnsi="Times New Roman"/>
          <w:sz w:val="24"/>
          <w:szCs w:val="24"/>
        </w:rPr>
        <w:t xml:space="preserve"> млн.руб. с темпом роста 10</w:t>
      </w:r>
      <w:r>
        <w:rPr>
          <w:rFonts w:ascii="Times New Roman" w:hAnsi="Times New Roman"/>
          <w:sz w:val="24"/>
          <w:szCs w:val="24"/>
        </w:rPr>
        <w:t>6,8</w:t>
      </w:r>
      <w:r w:rsidRPr="00D72F2F">
        <w:rPr>
          <w:rFonts w:ascii="Times New Roman" w:hAnsi="Times New Roman"/>
          <w:sz w:val="24"/>
          <w:szCs w:val="24"/>
        </w:rPr>
        <w:t xml:space="preserve"> %;</w:t>
      </w:r>
    </w:p>
    <w:p w:rsidR="001E4617" w:rsidRPr="00D72F2F" w:rsidRDefault="001E4617" w:rsidP="00D72F2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1CCB">
        <w:rPr>
          <w:rFonts w:ascii="Times New Roman" w:hAnsi="Times New Roman"/>
          <w:sz w:val="24"/>
          <w:szCs w:val="24"/>
        </w:rPr>
        <w:t>- на 2021</w:t>
      </w:r>
      <w:r w:rsidRPr="00D72F2F">
        <w:rPr>
          <w:rFonts w:ascii="Times New Roman" w:hAnsi="Times New Roman"/>
          <w:sz w:val="24"/>
          <w:szCs w:val="24"/>
        </w:rPr>
        <w:t xml:space="preserve"> год – 2</w:t>
      </w:r>
      <w:r>
        <w:rPr>
          <w:rFonts w:ascii="Times New Roman" w:hAnsi="Times New Roman"/>
          <w:sz w:val="24"/>
          <w:szCs w:val="24"/>
        </w:rPr>
        <w:t>6 032,8</w:t>
      </w:r>
      <w:r w:rsidRPr="00D72F2F">
        <w:rPr>
          <w:rFonts w:ascii="Times New Roman" w:hAnsi="Times New Roman"/>
          <w:sz w:val="24"/>
          <w:szCs w:val="24"/>
        </w:rPr>
        <w:t> млн.руб. с темпом роста 10</w:t>
      </w:r>
      <w:r>
        <w:rPr>
          <w:rFonts w:ascii="Times New Roman" w:hAnsi="Times New Roman"/>
          <w:sz w:val="24"/>
          <w:szCs w:val="24"/>
        </w:rPr>
        <w:t>7,7</w:t>
      </w:r>
      <w:r w:rsidRPr="00D72F2F">
        <w:rPr>
          <w:rFonts w:ascii="Times New Roman" w:hAnsi="Times New Roman"/>
          <w:sz w:val="24"/>
          <w:szCs w:val="24"/>
        </w:rPr>
        <w:t xml:space="preserve"> %;</w:t>
      </w:r>
    </w:p>
    <w:p w:rsidR="001E4617" w:rsidRPr="00D72F2F" w:rsidRDefault="001E4617" w:rsidP="00D72F2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1CCB">
        <w:rPr>
          <w:rFonts w:ascii="Times New Roman" w:hAnsi="Times New Roman"/>
          <w:sz w:val="24"/>
          <w:szCs w:val="24"/>
        </w:rPr>
        <w:t>- на 2022</w:t>
      </w:r>
      <w:r w:rsidRPr="00D72F2F">
        <w:rPr>
          <w:rFonts w:ascii="Times New Roman" w:hAnsi="Times New Roman"/>
          <w:sz w:val="24"/>
          <w:szCs w:val="24"/>
        </w:rPr>
        <w:t xml:space="preserve"> год – 2</w:t>
      </w:r>
      <w:r>
        <w:rPr>
          <w:rFonts w:ascii="Times New Roman" w:hAnsi="Times New Roman"/>
          <w:sz w:val="24"/>
          <w:szCs w:val="24"/>
        </w:rPr>
        <w:t xml:space="preserve">8 174,1 </w:t>
      </w:r>
      <w:r w:rsidRPr="00D72F2F">
        <w:rPr>
          <w:rFonts w:ascii="Times New Roman" w:hAnsi="Times New Roman"/>
          <w:sz w:val="24"/>
          <w:szCs w:val="24"/>
        </w:rPr>
        <w:t>млн.руб. с темпом роста 10</w:t>
      </w:r>
      <w:r>
        <w:rPr>
          <w:rFonts w:ascii="Times New Roman" w:hAnsi="Times New Roman"/>
          <w:sz w:val="24"/>
          <w:szCs w:val="24"/>
        </w:rPr>
        <w:t>8,2</w:t>
      </w:r>
      <w:r w:rsidRPr="00D72F2F">
        <w:rPr>
          <w:rFonts w:ascii="Times New Roman" w:hAnsi="Times New Roman"/>
          <w:sz w:val="24"/>
          <w:szCs w:val="24"/>
        </w:rPr>
        <w:t xml:space="preserve"> %.</w:t>
      </w:r>
    </w:p>
    <w:p w:rsidR="001E4617" w:rsidRPr="00D72F2F" w:rsidRDefault="001E4617" w:rsidP="00D72F2F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2F2F">
        <w:rPr>
          <w:rFonts w:ascii="Times New Roman" w:hAnsi="Times New Roman"/>
          <w:sz w:val="24"/>
          <w:szCs w:val="24"/>
          <w:lang w:eastAsia="ru-RU"/>
        </w:rPr>
        <w:t>Расчет налога на доходы физических лиц основывается на прогнозе ожидаемых поступлений налога в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D72F2F">
        <w:rPr>
          <w:rFonts w:ascii="Times New Roman" w:hAnsi="Times New Roman"/>
          <w:sz w:val="24"/>
          <w:szCs w:val="24"/>
          <w:lang w:eastAsia="ru-RU"/>
        </w:rPr>
        <w:t xml:space="preserve"> году, с учетом темпов роста заработной платы в разрезе муниципальных образований Томской области (в целом по области темп роста заработной платы в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D72F2F">
        <w:rPr>
          <w:rFonts w:ascii="Times New Roman" w:hAnsi="Times New Roman"/>
          <w:sz w:val="24"/>
          <w:szCs w:val="24"/>
          <w:lang w:eastAsia="ru-RU"/>
        </w:rPr>
        <w:t xml:space="preserve"> году планируется на уровне 10</w:t>
      </w:r>
      <w:r>
        <w:rPr>
          <w:rFonts w:ascii="Times New Roman" w:hAnsi="Times New Roman"/>
          <w:sz w:val="24"/>
          <w:szCs w:val="24"/>
          <w:lang w:eastAsia="ru-RU"/>
        </w:rPr>
        <w:t>4,8</w:t>
      </w:r>
      <w:r w:rsidRPr="00D72F2F">
        <w:rPr>
          <w:rFonts w:ascii="Times New Roman" w:hAnsi="Times New Roman"/>
          <w:sz w:val="24"/>
          <w:szCs w:val="24"/>
          <w:lang w:eastAsia="ru-RU"/>
        </w:rPr>
        <w:t xml:space="preserve"> %).</w:t>
      </w:r>
    </w:p>
    <w:p w:rsidR="001E4617" w:rsidRDefault="001E4617" w:rsidP="00D72F2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72F2F">
        <w:rPr>
          <w:rFonts w:ascii="Times New Roman" w:hAnsi="Times New Roman"/>
          <w:sz w:val="24"/>
          <w:szCs w:val="24"/>
        </w:rPr>
        <w:tab/>
        <w:t xml:space="preserve">В ходе проведенного палатой анализа параметров социально-экономического развития области (в т.ч. прогнозных значений) и динамики поступлений по данному виду налога, динамики налоговой базы, темпов </w:t>
      </w:r>
      <w:r>
        <w:rPr>
          <w:rFonts w:ascii="Times New Roman" w:hAnsi="Times New Roman"/>
          <w:sz w:val="24"/>
          <w:szCs w:val="24"/>
        </w:rPr>
        <w:t xml:space="preserve">роста </w:t>
      </w:r>
      <w:r w:rsidRPr="00D72F2F">
        <w:rPr>
          <w:rFonts w:ascii="Times New Roman" w:hAnsi="Times New Roman"/>
          <w:sz w:val="24"/>
          <w:szCs w:val="24"/>
        </w:rPr>
        <w:t>среднемесячной заработной платы на период 20</w:t>
      </w:r>
      <w:r>
        <w:rPr>
          <w:rFonts w:ascii="Times New Roman" w:hAnsi="Times New Roman"/>
          <w:sz w:val="24"/>
          <w:szCs w:val="24"/>
        </w:rPr>
        <w:t>20</w:t>
      </w:r>
      <w:r w:rsidRPr="00D72F2F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>2</w:t>
      </w:r>
      <w:r w:rsidRPr="00D72F2F">
        <w:rPr>
          <w:rFonts w:ascii="Times New Roman" w:hAnsi="Times New Roman"/>
          <w:sz w:val="24"/>
          <w:szCs w:val="24"/>
        </w:rPr>
        <w:t xml:space="preserve"> годов произведен расчет объемов поступлений.</w:t>
      </w:r>
    </w:p>
    <w:p w:rsidR="001E4617" w:rsidRDefault="001E4617" w:rsidP="004031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A4">
        <w:rPr>
          <w:rFonts w:ascii="Times New Roman" w:hAnsi="Times New Roman"/>
          <w:sz w:val="24"/>
          <w:szCs w:val="24"/>
        </w:rPr>
        <w:t xml:space="preserve">По расчетам палаты прогнозируемый </w:t>
      </w:r>
      <w:r>
        <w:rPr>
          <w:rFonts w:ascii="Times New Roman" w:hAnsi="Times New Roman"/>
          <w:sz w:val="24"/>
          <w:szCs w:val="24"/>
        </w:rPr>
        <w:t xml:space="preserve">Администрацией </w:t>
      </w:r>
      <w:r w:rsidRPr="004031A4">
        <w:rPr>
          <w:rFonts w:ascii="Times New Roman" w:hAnsi="Times New Roman"/>
          <w:sz w:val="24"/>
          <w:szCs w:val="24"/>
        </w:rPr>
        <w:t xml:space="preserve">объем поступлений по налогу на доходы физических лиц </w:t>
      </w:r>
      <w:r>
        <w:rPr>
          <w:rFonts w:ascii="Times New Roman" w:hAnsi="Times New Roman"/>
          <w:sz w:val="24"/>
          <w:szCs w:val="24"/>
        </w:rPr>
        <w:t xml:space="preserve">имеет риски недополучения по консолидированному бюджету в размерах 208,8 млн.руб., 227,1 млн.руб. и 311,7 млн.руб соответственно в планируемых годах. Основываясь на решениях, принимаемых в рамках налоговой и бюджетной политики, а также мерах по сокращению «теневых» заработных плат, Контрольно-счетная палата </w:t>
      </w:r>
      <w:r w:rsidRPr="006E0624">
        <w:rPr>
          <w:rFonts w:ascii="Times New Roman" w:hAnsi="Times New Roman"/>
          <w:sz w:val="24"/>
          <w:szCs w:val="24"/>
          <w:u w:val="single"/>
        </w:rPr>
        <w:t xml:space="preserve">считает возможным согласиться </w:t>
      </w:r>
      <w:r>
        <w:rPr>
          <w:rFonts w:ascii="Times New Roman" w:hAnsi="Times New Roman"/>
          <w:sz w:val="24"/>
          <w:szCs w:val="24"/>
        </w:rPr>
        <w:t>с прогнозируемым объемом доходов по данному источнику.</w:t>
      </w:r>
    </w:p>
    <w:p w:rsidR="001E4617" w:rsidRDefault="001E4617" w:rsidP="004031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4617" w:rsidRPr="0083102F" w:rsidRDefault="001E4617" w:rsidP="006E0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3102F">
        <w:rPr>
          <w:rFonts w:ascii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83102F">
        <w:rPr>
          <w:rFonts w:ascii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83102F">
        <w:rPr>
          <w:rFonts w:ascii="Times New Roman" w:hAnsi="Times New Roman"/>
          <w:b/>
          <w:sz w:val="24"/>
          <w:szCs w:val="24"/>
          <w:lang w:eastAsia="ru-RU"/>
        </w:rPr>
        <w:t>Акцизы по подакцизным товарам (продукции), производимым на территории Российской Федерации</w:t>
      </w:r>
    </w:p>
    <w:p w:rsidR="001E4617" w:rsidRPr="0083102F" w:rsidRDefault="001E4617" w:rsidP="008310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E4617" w:rsidRPr="0083102F" w:rsidRDefault="001E4617" w:rsidP="008310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102F">
        <w:rPr>
          <w:rFonts w:ascii="Times New Roman" w:hAnsi="Times New Roman"/>
          <w:sz w:val="24"/>
          <w:szCs w:val="24"/>
        </w:rPr>
        <w:t>Общая сумма поступления акцизов по подакцизным товарам (продукции), производимым на территории РФ, в бюджет Томской области на 2020 год прогнозируется в размере 9 195,2</w:t>
      </w:r>
      <w:r w:rsidRPr="008310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3102F">
        <w:rPr>
          <w:rFonts w:ascii="Times New Roman" w:hAnsi="Times New Roman"/>
          <w:sz w:val="24"/>
          <w:szCs w:val="24"/>
        </w:rPr>
        <w:t xml:space="preserve">млн. рублей, </w:t>
      </w:r>
      <w:r w:rsidRPr="0083102F">
        <w:rPr>
          <w:rFonts w:ascii="Times New Roman" w:hAnsi="Times New Roman"/>
          <w:sz w:val="24"/>
          <w:szCs w:val="24"/>
          <w:lang w:eastAsia="ru-RU"/>
        </w:rPr>
        <w:t>что выше ожидаемого исполнения доходов в 2019 году по данной статье на  2 244,9 млн.руб. или на 32%.</w:t>
      </w:r>
    </w:p>
    <w:p w:rsidR="001E4617" w:rsidRPr="0083102F" w:rsidRDefault="001E4617" w:rsidP="00831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02F">
        <w:rPr>
          <w:rFonts w:ascii="Times New Roman" w:hAnsi="Times New Roman"/>
          <w:sz w:val="24"/>
          <w:szCs w:val="24"/>
          <w:lang w:eastAsia="ru-RU"/>
        </w:rPr>
        <w:t>В 2021 году планируется увеличение доходов по сравнению с 2020 годом на  1 868,2 млн.руб. или 20 %, в 2022 году по сравнению с 2021 годом увеличение на  718,6 млн.руб. или 6 %.</w:t>
      </w:r>
    </w:p>
    <w:p w:rsidR="001E4617" w:rsidRPr="0083102F" w:rsidRDefault="001E4617" w:rsidP="00831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02F">
        <w:rPr>
          <w:rFonts w:ascii="Times New Roman" w:hAnsi="Times New Roman"/>
          <w:sz w:val="24"/>
          <w:szCs w:val="24"/>
        </w:rPr>
        <w:t>Прогноз поступления акцизов н</w:t>
      </w:r>
      <w:r w:rsidRPr="0083102F">
        <w:rPr>
          <w:rFonts w:ascii="Times New Roman" w:hAnsi="Times New Roman"/>
          <w:sz w:val="24"/>
          <w:szCs w:val="24"/>
          <w:lang w:eastAsia="ru-RU"/>
        </w:rPr>
        <w:t xml:space="preserve">а 2020-2022 годы </w:t>
      </w:r>
      <w:r w:rsidRPr="0083102F">
        <w:rPr>
          <w:rFonts w:ascii="Times New Roman" w:hAnsi="Times New Roman"/>
          <w:sz w:val="24"/>
          <w:szCs w:val="24"/>
        </w:rPr>
        <w:t xml:space="preserve">рассчитан Администрацией Томской области с учетом повышения ставок акцизов, предусмотренных в Налоговом кодексе РФ на момент составления проекта бюджета, </w:t>
      </w:r>
      <w:r w:rsidRPr="0083102F">
        <w:rPr>
          <w:rFonts w:ascii="Times New Roman" w:hAnsi="Times New Roman"/>
          <w:sz w:val="24"/>
          <w:szCs w:val="24"/>
          <w:lang w:eastAsia="ru-RU"/>
        </w:rPr>
        <w:t xml:space="preserve">нормативов распределения акцизов по подакцизным товарам в бюджеты субъектов РФ, прогноза социально-экономического развития Российской Федерации на 2019 год и плановый период 2020 и 2021 годов. </w:t>
      </w:r>
    </w:p>
    <w:p w:rsidR="001E4617" w:rsidRPr="0083102F" w:rsidRDefault="001E4617" w:rsidP="00831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02F">
        <w:rPr>
          <w:rFonts w:ascii="Times New Roman" w:hAnsi="Times New Roman"/>
          <w:sz w:val="24"/>
          <w:szCs w:val="24"/>
          <w:lang w:eastAsia="ru-RU"/>
        </w:rPr>
        <w:t xml:space="preserve">Контрольно-счетной палатой при составлении прогноза доходов областного бюджета дополнительно учтены изменения налогового законодательства, предусмотренные </w:t>
      </w:r>
      <w:r w:rsidRPr="0083102F"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Федеральным законом от 30.07.2019 № 255-ФЗ «О внесении изменений в часть вторую Налогового кодекса Российской Федерации» и </w:t>
      </w:r>
      <w:r w:rsidRPr="0083102F">
        <w:rPr>
          <w:rFonts w:ascii="Times New Roman" w:hAnsi="Times New Roman"/>
          <w:sz w:val="24"/>
          <w:szCs w:val="24"/>
          <w:lang w:eastAsia="ru-RU"/>
        </w:rPr>
        <w:t>Федеральным законом от 29.09.2019 № 326-ФЗ «О внесении изменений в часть вторую Налогового кодекса Российской Федерации и статью 1 Федерального закона «О внесении изменений в часть вторую Налогового Кодекса Российской Федерации», а именно:</w:t>
      </w:r>
    </w:p>
    <w:p w:rsidR="001E4617" w:rsidRPr="0083102F" w:rsidRDefault="001E4617" w:rsidP="00831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02F">
        <w:rPr>
          <w:rFonts w:ascii="Times New Roman" w:hAnsi="Times New Roman"/>
          <w:b/>
          <w:i/>
          <w:sz w:val="24"/>
          <w:szCs w:val="24"/>
          <w:lang w:eastAsia="ru-RU"/>
        </w:rPr>
        <w:t>- в части алкогольной продукции</w:t>
      </w:r>
      <w:r w:rsidRPr="0083102F">
        <w:rPr>
          <w:rFonts w:ascii="Times New Roman" w:hAnsi="Times New Roman"/>
          <w:sz w:val="24"/>
          <w:szCs w:val="24"/>
          <w:lang w:eastAsia="ru-RU"/>
        </w:rPr>
        <w:t>:</w:t>
      </w:r>
    </w:p>
    <w:p w:rsidR="001E4617" w:rsidRPr="0083102F" w:rsidRDefault="001E4617" w:rsidP="00831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83102F">
        <w:rPr>
          <w:rFonts w:ascii="Times New Roman" w:hAnsi="Times New Roman"/>
          <w:i/>
          <w:color w:val="000000"/>
          <w:sz w:val="24"/>
          <w:szCs w:val="24"/>
          <w:lang w:eastAsia="ru-RU"/>
        </w:rPr>
        <w:t>акцизы на вина, фруктовые вина за исключением игристых вин (шампанских), ликерных вин</w:t>
      </w:r>
      <w:r w:rsidRPr="008310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</w:t>
      </w:r>
      <w:r w:rsidRPr="0083102F">
        <w:rPr>
          <w:rFonts w:ascii="Times New Roman" w:hAnsi="Times New Roman"/>
          <w:sz w:val="24"/>
          <w:szCs w:val="24"/>
          <w:lang w:eastAsia="ru-RU"/>
        </w:rPr>
        <w:t>1 января 2020 года</w:t>
      </w:r>
      <w:r w:rsidRPr="008310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в размере 31 рубля за 1 литр (в 1,7 раза выше уровня  2019  года); с </w:t>
      </w:r>
      <w:r w:rsidRPr="0083102F">
        <w:rPr>
          <w:rFonts w:ascii="Times New Roman" w:hAnsi="Times New Roman"/>
          <w:sz w:val="24"/>
          <w:szCs w:val="24"/>
          <w:lang w:eastAsia="ru-RU"/>
        </w:rPr>
        <w:t xml:space="preserve">1 января 2021 года </w:t>
      </w:r>
      <w:r w:rsidRPr="0083102F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8310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310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размере 32 рублей за 1 литр;</w:t>
      </w:r>
      <w:r w:rsidRPr="0083102F">
        <w:rPr>
          <w:rFonts w:ascii="Times New Roman" w:hAnsi="Times New Roman"/>
          <w:sz w:val="24"/>
          <w:szCs w:val="24"/>
          <w:lang w:eastAsia="ru-RU"/>
        </w:rPr>
        <w:t xml:space="preserve"> с 1 января 2022 года</w:t>
      </w:r>
      <w:r w:rsidRPr="008310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в размере 33 рублей за 1 литр;</w:t>
      </w:r>
    </w:p>
    <w:p w:rsidR="001E4617" w:rsidRPr="0083102F" w:rsidRDefault="001E4617" w:rsidP="00831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02F">
        <w:rPr>
          <w:rFonts w:ascii="Times New Roman" w:hAnsi="Times New Roman"/>
          <w:b/>
          <w:i/>
          <w:sz w:val="24"/>
          <w:szCs w:val="24"/>
          <w:lang w:eastAsia="ru-RU"/>
        </w:rPr>
        <w:t>- в части нефтепродуктов:</w:t>
      </w:r>
    </w:p>
    <w:p w:rsidR="001E4617" w:rsidRPr="0083102F" w:rsidRDefault="001E4617" w:rsidP="00831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83102F">
        <w:rPr>
          <w:rFonts w:ascii="Times New Roman" w:hAnsi="Times New Roman"/>
          <w:i/>
          <w:sz w:val="24"/>
          <w:szCs w:val="24"/>
          <w:lang w:eastAsia="ru-RU"/>
        </w:rPr>
        <w:t>акцизы на средние дистилляты</w:t>
      </w:r>
      <w:r w:rsidRPr="0083102F">
        <w:rPr>
          <w:rFonts w:ascii="Times New Roman" w:hAnsi="Times New Roman"/>
          <w:sz w:val="24"/>
          <w:szCs w:val="24"/>
          <w:lang w:eastAsia="ru-RU"/>
        </w:rPr>
        <w:t xml:space="preserve"> - с 1 апреля 2020 года устанавливается формульный порядок определения ставки акциза, с использованием ставки акциза на дизельное топливо и с </w:t>
      </w:r>
      <w:r w:rsidRPr="0083102F">
        <w:rPr>
          <w:rFonts w:ascii="Times New Roman" w:hAnsi="Times New Roman"/>
          <w:sz w:val="24"/>
          <w:szCs w:val="24"/>
          <w:lang w:eastAsia="ru-RU"/>
        </w:rPr>
        <w:lastRenderedPageBreak/>
        <w:t>учетом разницы между сложившимися ценой экспортной альтернативы на дизельное топливо и ценой внутреннего рынка.</w:t>
      </w:r>
    </w:p>
    <w:p w:rsidR="001E4617" w:rsidRPr="0083102F" w:rsidRDefault="001E4617" w:rsidP="00831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02F">
        <w:rPr>
          <w:rFonts w:ascii="Times New Roman" w:hAnsi="Times New Roman"/>
          <w:sz w:val="24"/>
          <w:szCs w:val="24"/>
          <w:lang w:eastAsia="ru-RU"/>
        </w:rPr>
        <w:t xml:space="preserve">Кроме того, с 1 апреля 2020 года Федеральным законом № 255-ФЗ уточняется перечень видов продукции, относящейся к средним дистиллятам, с целью предотвращения их оборота под видом дизельного топлива. </w:t>
      </w:r>
    </w:p>
    <w:p w:rsidR="001E4617" w:rsidRPr="0083102F" w:rsidRDefault="001E4617" w:rsidP="008310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4617" w:rsidRPr="0083102F" w:rsidRDefault="001E4617" w:rsidP="008310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02F">
        <w:rPr>
          <w:rFonts w:ascii="Times New Roman" w:hAnsi="Times New Roman"/>
          <w:sz w:val="24"/>
          <w:szCs w:val="24"/>
          <w:lang w:eastAsia="ru-RU"/>
        </w:rPr>
        <w:t xml:space="preserve">Расчет поступлений акцизов в бюджет Томской области в 2020 году рассчитан Администрацией Томской области, исходя из следующих объемов производства: </w:t>
      </w:r>
    </w:p>
    <w:p w:rsidR="001E4617" w:rsidRPr="0083102F" w:rsidRDefault="001E4617" w:rsidP="008310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02F">
        <w:rPr>
          <w:rFonts w:ascii="Times New Roman" w:hAnsi="Times New Roman"/>
          <w:sz w:val="24"/>
          <w:szCs w:val="24"/>
          <w:lang w:eastAsia="ru-RU"/>
        </w:rPr>
        <w:t>- вина – 1 210,6 тыс.дкл;</w:t>
      </w:r>
    </w:p>
    <w:p w:rsidR="001E4617" w:rsidRPr="0083102F" w:rsidRDefault="001E4617" w:rsidP="008310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02F">
        <w:rPr>
          <w:rFonts w:ascii="Times New Roman" w:hAnsi="Times New Roman"/>
          <w:sz w:val="24"/>
          <w:szCs w:val="24"/>
          <w:lang w:eastAsia="ru-RU"/>
        </w:rPr>
        <w:t>- пива – 16 400 тыс.дкл.;</w:t>
      </w:r>
    </w:p>
    <w:p w:rsidR="001E4617" w:rsidRPr="0083102F" w:rsidRDefault="001E4617" w:rsidP="008310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102F">
        <w:rPr>
          <w:rFonts w:ascii="Times New Roman" w:hAnsi="Times New Roman"/>
          <w:sz w:val="24"/>
          <w:szCs w:val="24"/>
          <w:lang w:eastAsia="ru-RU"/>
        </w:rPr>
        <w:t>- ставок акцизов:</w:t>
      </w:r>
      <w:r w:rsidRPr="0083102F">
        <w:rPr>
          <w:rFonts w:ascii="Times New Roman" w:hAnsi="Times New Roman"/>
          <w:sz w:val="24"/>
          <w:szCs w:val="24"/>
          <w:lang w:eastAsia="ru-RU"/>
        </w:rPr>
        <w:br/>
        <w:t xml:space="preserve"> </w:t>
      </w:r>
      <w:r w:rsidRPr="0083102F">
        <w:rPr>
          <w:rFonts w:ascii="Times New Roman" w:hAnsi="Times New Roman"/>
          <w:sz w:val="24"/>
          <w:szCs w:val="24"/>
          <w:lang w:eastAsia="ru-RU"/>
        </w:rPr>
        <w:tab/>
        <w:t>- на вина – 19 руб. за литр;</w:t>
      </w:r>
    </w:p>
    <w:p w:rsidR="001E4617" w:rsidRPr="0083102F" w:rsidRDefault="001E4617" w:rsidP="0083102F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3102F">
        <w:rPr>
          <w:rFonts w:ascii="Times New Roman" w:hAnsi="Times New Roman"/>
          <w:sz w:val="24"/>
          <w:szCs w:val="24"/>
          <w:lang w:eastAsia="ru-RU"/>
        </w:rPr>
        <w:t xml:space="preserve">- на пиво - 22 руб. за литр. </w:t>
      </w:r>
    </w:p>
    <w:p w:rsidR="001E4617" w:rsidRPr="0083102F" w:rsidRDefault="001E4617" w:rsidP="008310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02F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29.09.2019 № 326-ФЗ «О внесении изменений в часть вторую Налогового кодекса Российской Федерации» в 2020 году по сравнению с 2019 годом по винам рост ставок акциза предусмотрен на  72% и составит 31 руб. за 1 литр, таким образом, исходя из представленного Департаментом потребительского рынка Администрации Томской области (письмо от 08.10.2019 № 19-03-0371) прогноза производства вина томским производителем, поступления в областной бюджет могут составить 375,3 млн.руб. (12106 литр *31руб./литр), что больше указанного в законопроекте на </w:t>
      </w:r>
      <w:r w:rsidRPr="0083102F">
        <w:rPr>
          <w:rFonts w:ascii="Times New Roman" w:hAnsi="Times New Roman"/>
          <w:b/>
          <w:sz w:val="24"/>
          <w:szCs w:val="24"/>
          <w:lang w:eastAsia="ru-RU"/>
        </w:rPr>
        <w:t>147,9</w:t>
      </w:r>
      <w:r w:rsidRPr="0083102F">
        <w:rPr>
          <w:rFonts w:ascii="Times New Roman" w:hAnsi="Times New Roman"/>
          <w:sz w:val="24"/>
          <w:szCs w:val="24"/>
          <w:lang w:eastAsia="ru-RU"/>
        </w:rPr>
        <w:t xml:space="preserve"> млн.руб.</w:t>
      </w:r>
    </w:p>
    <w:p w:rsidR="001E4617" w:rsidRPr="0083102F" w:rsidRDefault="001E4617" w:rsidP="008310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02F">
        <w:rPr>
          <w:rFonts w:ascii="Times New Roman" w:hAnsi="Times New Roman"/>
          <w:sz w:val="24"/>
          <w:szCs w:val="24"/>
          <w:lang w:eastAsia="ru-RU"/>
        </w:rPr>
        <w:t xml:space="preserve">Прогноз поступлений акциза на пиво на 2020-2021 год в размере 7 439 млн.руб.                  (3 625,1 млн.руб. – в 2020 году, 3 813,8 млн.руб. - в 2021 году) является реалистичным, в 2022 год в связи с изменением налоговой ставки, поступление акцизов на пиво в областной бюджет может составить 4 018 млн.руб., что на </w:t>
      </w:r>
      <w:r w:rsidRPr="0083102F">
        <w:rPr>
          <w:rFonts w:ascii="Times New Roman" w:hAnsi="Times New Roman"/>
          <w:b/>
          <w:sz w:val="24"/>
          <w:szCs w:val="24"/>
          <w:lang w:eastAsia="ru-RU"/>
        </w:rPr>
        <w:t>168</w:t>
      </w:r>
      <w:r w:rsidRPr="0083102F">
        <w:rPr>
          <w:rFonts w:ascii="Times New Roman" w:hAnsi="Times New Roman"/>
          <w:sz w:val="24"/>
          <w:szCs w:val="24"/>
          <w:lang w:eastAsia="ru-RU"/>
        </w:rPr>
        <w:t xml:space="preserve"> млн. руб. больше, чем указано в законопроекте. </w:t>
      </w:r>
    </w:p>
    <w:p w:rsidR="001E4617" w:rsidRPr="0083102F" w:rsidRDefault="001E4617" w:rsidP="008310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02F">
        <w:rPr>
          <w:rFonts w:ascii="Times New Roman" w:hAnsi="Times New Roman"/>
          <w:sz w:val="24"/>
          <w:szCs w:val="24"/>
          <w:lang w:eastAsia="ru-RU"/>
        </w:rPr>
        <w:t>Расчет прогноза поступлений акцизов на алкогольную продукцию с объемной долей этилового спирта свыше 9 процентов на 2019-2020 годы произведен с учетом роста ставки акциза. Доходы областного бюджета по указанному источнику могут составить:</w:t>
      </w:r>
    </w:p>
    <w:p w:rsidR="001E4617" w:rsidRPr="0083102F" w:rsidRDefault="001E4617" w:rsidP="008310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02F">
        <w:rPr>
          <w:rFonts w:ascii="Times New Roman" w:hAnsi="Times New Roman"/>
          <w:sz w:val="24"/>
          <w:szCs w:val="24"/>
          <w:lang w:eastAsia="ru-RU"/>
        </w:rPr>
        <w:t>- в 2020 году – 919,8 млн.руб., что выше ожидаемого исполнения за 2019 год на 145,2 млн.руб. или на 18%;</w:t>
      </w:r>
    </w:p>
    <w:p w:rsidR="001E4617" w:rsidRPr="0083102F" w:rsidRDefault="001E4617" w:rsidP="008310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02F">
        <w:rPr>
          <w:rFonts w:ascii="Times New Roman" w:hAnsi="Times New Roman"/>
          <w:sz w:val="24"/>
          <w:szCs w:val="24"/>
          <w:lang w:eastAsia="ru-RU"/>
        </w:rPr>
        <w:t>- в 2021 году – 929,8 млн.руб. (прогноз на 2020-2021 годы без отклонений от законопроекта);</w:t>
      </w:r>
    </w:p>
    <w:p w:rsidR="001E4617" w:rsidRPr="0083102F" w:rsidRDefault="001E4617" w:rsidP="008310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02F">
        <w:rPr>
          <w:rFonts w:ascii="Times New Roman" w:hAnsi="Times New Roman"/>
          <w:sz w:val="24"/>
          <w:szCs w:val="24"/>
          <w:lang w:eastAsia="ru-RU"/>
        </w:rPr>
        <w:t xml:space="preserve">- в 2022 году – 970 млн.руб., что больше указанного в законопроекте на </w:t>
      </w:r>
      <w:r w:rsidRPr="0083102F">
        <w:rPr>
          <w:rFonts w:ascii="Times New Roman" w:hAnsi="Times New Roman"/>
          <w:b/>
          <w:sz w:val="24"/>
          <w:szCs w:val="24"/>
          <w:lang w:eastAsia="ru-RU"/>
        </w:rPr>
        <w:t>30</w:t>
      </w:r>
      <w:r w:rsidRPr="0083102F">
        <w:rPr>
          <w:rFonts w:ascii="Times New Roman" w:hAnsi="Times New Roman"/>
          <w:sz w:val="24"/>
          <w:szCs w:val="24"/>
          <w:lang w:eastAsia="ru-RU"/>
        </w:rPr>
        <w:t xml:space="preserve"> млн.руб. </w:t>
      </w:r>
    </w:p>
    <w:p w:rsidR="001E4617" w:rsidRPr="0083102F" w:rsidRDefault="001E4617" w:rsidP="0083102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  <w:r w:rsidRPr="0083102F">
        <w:rPr>
          <w:rFonts w:ascii="Times New Roman" w:hAnsi="Times New Roman"/>
          <w:sz w:val="24"/>
          <w:szCs w:val="24"/>
          <w:lang w:eastAsia="ru-RU"/>
        </w:rPr>
        <w:t>Ставки акцизов на бензин, на дизельное топливо, прямогонный бензин, на моторные масла в 2020-2021 годах увеличатся на 3-5 % ежегодно</w:t>
      </w:r>
      <w:r w:rsidRPr="0083102F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.</w:t>
      </w:r>
    </w:p>
    <w:p w:rsidR="001E4617" w:rsidRPr="0083102F" w:rsidRDefault="001E4617" w:rsidP="00831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02F">
        <w:rPr>
          <w:rFonts w:ascii="Times New Roman" w:hAnsi="Times New Roman"/>
          <w:sz w:val="24"/>
          <w:szCs w:val="24"/>
          <w:lang w:eastAsia="ru-RU"/>
        </w:rPr>
        <w:t>Доходы областного бюджета от уплаты акцизов на нефтепродукты в 2020 году в целях формирования дорожных фондов могут составить 2 450,2 млн. руб. В 2021-2022 годах доходы областного бюджета от указанного источника могут составить 2 560,8 и 2 847,9 млн.руб. соответственно.</w:t>
      </w:r>
    </w:p>
    <w:p w:rsidR="001E4617" w:rsidRPr="0083102F" w:rsidRDefault="001E4617" w:rsidP="00831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83102F">
        <w:rPr>
          <w:rFonts w:ascii="Times New Roman" w:hAnsi="Times New Roman"/>
          <w:sz w:val="24"/>
          <w:szCs w:val="24"/>
          <w:lang w:eastAsia="ru-RU"/>
        </w:rPr>
        <w:t xml:space="preserve"> рамках реализации национального проекта «Безопасные и качественные автомобильные дороги» для Томской области предусмотрены дополнительные нормативы в пределах установленного норматива межбюджетного распределения от уплаты акцизов на нефтепродукты, в связи, с чем в 2020-2022 годах в бюджет Томской области дополнительно поступят:</w:t>
      </w:r>
    </w:p>
    <w:p w:rsidR="001E4617" w:rsidRPr="0083102F" w:rsidRDefault="001E4617" w:rsidP="00831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02F">
        <w:rPr>
          <w:rFonts w:ascii="Times New Roman" w:hAnsi="Times New Roman"/>
          <w:sz w:val="24"/>
          <w:szCs w:val="24"/>
          <w:lang w:eastAsia="ru-RU"/>
        </w:rPr>
        <w:t>- в 2020 году – 1 513,1 млн.руб.;</w:t>
      </w:r>
    </w:p>
    <w:p w:rsidR="001E4617" w:rsidRPr="0083102F" w:rsidRDefault="001E4617" w:rsidP="00831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02F">
        <w:rPr>
          <w:rFonts w:ascii="Times New Roman" w:hAnsi="Times New Roman"/>
          <w:sz w:val="24"/>
          <w:szCs w:val="24"/>
          <w:lang w:eastAsia="ru-RU"/>
        </w:rPr>
        <w:t>- в 2021 году  - 3 025,3 млн.руб.;</w:t>
      </w:r>
    </w:p>
    <w:p w:rsidR="001E4617" w:rsidRPr="0083102F" w:rsidRDefault="001E4617" w:rsidP="00831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02F">
        <w:rPr>
          <w:rFonts w:ascii="Times New Roman" w:hAnsi="Times New Roman"/>
          <w:sz w:val="24"/>
          <w:szCs w:val="24"/>
          <w:lang w:eastAsia="ru-RU"/>
        </w:rPr>
        <w:t>- в 2022 году – 3 364,5 млн.руб.</w:t>
      </w:r>
    </w:p>
    <w:p w:rsidR="001E4617" w:rsidRPr="0083102F" w:rsidRDefault="001E4617" w:rsidP="00831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83102F">
        <w:rPr>
          <w:rFonts w:ascii="Times New Roman" w:hAnsi="Times New Roman"/>
          <w:sz w:val="24"/>
          <w:szCs w:val="24"/>
          <w:lang w:eastAsia="ru-RU"/>
        </w:rPr>
        <w:t>роектом Федерального закона «О федеральном бюджете на 2020 год и плановый период 2021 и 2022 годы» предусмотрен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83102F">
        <w:rPr>
          <w:rFonts w:ascii="Times New Roman" w:hAnsi="Times New Roman"/>
          <w:sz w:val="24"/>
          <w:szCs w:val="24"/>
          <w:lang w:eastAsia="ru-RU"/>
        </w:rPr>
        <w:t xml:space="preserve"> иные межбюджетные нормативы и нормативы  распределения для Томской области акцизов на нефтепродукты, чем указаны в законопроекте в части перераспределения между нормативами для формирования дорожных фондов и в целях реализации национального проекта «Безопасные и качественные автомобильные дороги» на 2022 год, что </w:t>
      </w: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83102F">
        <w:rPr>
          <w:rFonts w:ascii="Times New Roman" w:hAnsi="Times New Roman"/>
          <w:sz w:val="24"/>
          <w:szCs w:val="24"/>
          <w:lang w:eastAsia="ru-RU"/>
        </w:rPr>
        <w:t>требует дополнительного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пересчета</w:t>
      </w:r>
      <w:r w:rsidRPr="0083102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E4617" w:rsidRPr="0083102F" w:rsidRDefault="001E4617" w:rsidP="00831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02F">
        <w:rPr>
          <w:rFonts w:ascii="Times New Roman" w:hAnsi="Times New Roman"/>
          <w:sz w:val="24"/>
          <w:szCs w:val="24"/>
          <w:lang w:eastAsia="ru-RU"/>
        </w:rPr>
        <w:t xml:space="preserve">Прогноз поступлений акцизов на средние дистилляты на 2020-2022 годы может быть </w:t>
      </w:r>
      <w:r w:rsidRPr="0083102F">
        <w:rPr>
          <w:rFonts w:ascii="Times New Roman" w:hAnsi="Times New Roman"/>
          <w:sz w:val="24"/>
          <w:szCs w:val="24"/>
          <w:lang w:eastAsia="ru-RU"/>
        </w:rPr>
        <w:lastRenderedPageBreak/>
        <w:t>оценен в объеме  1592,3 млн.руб., в том числе:</w:t>
      </w:r>
    </w:p>
    <w:p w:rsidR="001E4617" w:rsidRPr="0083102F" w:rsidRDefault="001E4617" w:rsidP="00831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02F">
        <w:rPr>
          <w:rFonts w:ascii="Times New Roman" w:hAnsi="Times New Roman"/>
          <w:sz w:val="24"/>
          <w:szCs w:val="24"/>
          <w:lang w:eastAsia="ru-RU"/>
        </w:rPr>
        <w:t xml:space="preserve">- на 2020 год – 461,9 млн. руб. или на </w:t>
      </w:r>
      <w:r w:rsidRPr="0083102F">
        <w:rPr>
          <w:rFonts w:ascii="Times New Roman" w:hAnsi="Times New Roman"/>
          <w:b/>
          <w:sz w:val="24"/>
          <w:szCs w:val="24"/>
          <w:lang w:eastAsia="ru-RU"/>
        </w:rPr>
        <w:t>2,4</w:t>
      </w:r>
      <w:r w:rsidRPr="0083102F">
        <w:rPr>
          <w:rFonts w:ascii="Times New Roman" w:hAnsi="Times New Roman"/>
          <w:sz w:val="24"/>
          <w:szCs w:val="24"/>
          <w:lang w:eastAsia="ru-RU"/>
        </w:rPr>
        <w:t xml:space="preserve"> млн.руб. больше, чем указано в законопроекте;</w:t>
      </w:r>
    </w:p>
    <w:p w:rsidR="001E4617" w:rsidRPr="0083102F" w:rsidRDefault="001E4617" w:rsidP="00831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02F">
        <w:rPr>
          <w:rFonts w:ascii="Times New Roman" w:hAnsi="Times New Roman"/>
          <w:sz w:val="24"/>
          <w:szCs w:val="24"/>
          <w:lang w:eastAsia="ru-RU"/>
        </w:rPr>
        <w:t xml:space="preserve">- на 2021 год – 525,3 млн.руб. или </w:t>
      </w:r>
      <w:r w:rsidRPr="0083102F">
        <w:rPr>
          <w:rFonts w:ascii="Times New Roman" w:hAnsi="Times New Roman"/>
          <w:b/>
          <w:sz w:val="24"/>
          <w:szCs w:val="24"/>
          <w:lang w:eastAsia="ru-RU"/>
        </w:rPr>
        <w:t>41,2</w:t>
      </w:r>
      <w:r w:rsidRPr="0083102F">
        <w:rPr>
          <w:rFonts w:ascii="Times New Roman" w:hAnsi="Times New Roman"/>
          <w:sz w:val="24"/>
          <w:szCs w:val="24"/>
          <w:lang w:eastAsia="ru-RU"/>
        </w:rPr>
        <w:t xml:space="preserve"> млн.руб. больше, чем указано в законопроекте ;</w:t>
      </w:r>
    </w:p>
    <w:p w:rsidR="001E4617" w:rsidRPr="0083102F" w:rsidRDefault="001E4617" w:rsidP="00831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02F">
        <w:rPr>
          <w:rFonts w:ascii="Times New Roman" w:hAnsi="Times New Roman"/>
          <w:sz w:val="24"/>
          <w:szCs w:val="24"/>
          <w:lang w:eastAsia="ru-RU"/>
        </w:rPr>
        <w:t xml:space="preserve">- на 2022 год – 605,1 млн.руб. или </w:t>
      </w:r>
      <w:r w:rsidRPr="0083102F">
        <w:rPr>
          <w:rFonts w:ascii="Times New Roman" w:hAnsi="Times New Roman"/>
          <w:b/>
          <w:sz w:val="24"/>
          <w:szCs w:val="24"/>
          <w:lang w:eastAsia="ru-RU"/>
        </w:rPr>
        <w:t>87,2</w:t>
      </w:r>
      <w:r w:rsidRPr="0083102F">
        <w:rPr>
          <w:rFonts w:ascii="Times New Roman" w:hAnsi="Times New Roman"/>
          <w:sz w:val="24"/>
          <w:szCs w:val="24"/>
          <w:lang w:eastAsia="ru-RU"/>
        </w:rPr>
        <w:t xml:space="preserve"> млн.руб. больше, чем указано в законопроекте.</w:t>
      </w:r>
    </w:p>
    <w:p w:rsidR="001E4617" w:rsidRPr="0083102F" w:rsidRDefault="001E4617" w:rsidP="008310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02F">
        <w:rPr>
          <w:rFonts w:ascii="Times New Roman" w:hAnsi="Times New Roman"/>
          <w:sz w:val="24"/>
          <w:szCs w:val="24"/>
          <w:lang w:eastAsia="ru-RU"/>
        </w:rPr>
        <w:t xml:space="preserve">Исходя из изложенного, прогноз поступлений в 2020-2022 годах в доход областного бюджета акцизов по подакцизным товарам (продукции), производимым на территории Российской Федерации, требует дополнительного рассмотрения с целью возможного </w:t>
      </w:r>
      <w:r w:rsidRPr="0083102F">
        <w:rPr>
          <w:rFonts w:ascii="Times New Roman" w:hAnsi="Times New Roman"/>
          <w:b/>
          <w:sz w:val="24"/>
          <w:szCs w:val="24"/>
          <w:lang w:eastAsia="ru-RU"/>
        </w:rPr>
        <w:t>увеличения</w:t>
      </w:r>
      <w:r w:rsidRPr="0083102F">
        <w:rPr>
          <w:rFonts w:ascii="Times New Roman" w:hAnsi="Times New Roman"/>
          <w:sz w:val="24"/>
          <w:szCs w:val="24"/>
          <w:lang w:eastAsia="ru-RU"/>
        </w:rPr>
        <w:t xml:space="preserve"> доходов областного бюджета. </w:t>
      </w:r>
    </w:p>
    <w:p w:rsidR="001E4617" w:rsidRPr="0083102F" w:rsidRDefault="001E4617" w:rsidP="008310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4617" w:rsidRPr="00EA3B98" w:rsidRDefault="001E4617" w:rsidP="00EA3B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3B98">
        <w:rPr>
          <w:rFonts w:ascii="Times New Roman" w:hAnsi="Times New Roman"/>
          <w:b/>
          <w:sz w:val="24"/>
          <w:szCs w:val="24"/>
        </w:rPr>
        <w:t>5.4. Налог на имущество организаций</w:t>
      </w:r>
    </w:p>
    <w:p w:rsidR="001E4617" w:rsidRDefault="001E4617" w:rsidP="00EA3B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ucida Grande" w:hAnsi="Lucida Grande"/>
          <w:color w:val="000000"/>
          <w:sz w:val="27"/>
          <w:szCs w:val="27"/>
          <w:shd w:val="clear" w:color="auto" w:fill="FFFFFF"/>
        </w:rPr>
      </w:pPr>
    </w:p>
    <w:p w:rsidR="001E4617" w:rsidRPr="00857B4A" w:rsidRDefault="001E4617" w:rsidP="00EA3B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ucida Grande" w:hAnsi="Lucida Grande"/>
          <w:color w:val="000000"/>
          <w:sz w:val="24"/>
          <w:szCs w:val="24"/>
          <w:shd w:val="clear" w:color="auto" w:fill="FFFFFF"/>
        </w:rPr>
      </w:pPr>
      <w:r w:rsidRPr="00857B4A"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С 2020 года существенно изменяются контингент и </w:t>
      </w:r>
      <w:r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основания </w:t>
      </w:r>
      <w:r w:rsidRPr="00857B4A"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уплаты налога на имущество организаций. </w:t>
      </w:r>
    </w:p>
    <w:p w:rsidR="001E4617" w:rsidRPr="000D14BF" w:rsidRDefault="001E4617" w:rsidP="00857B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4BF">
        <w:rPr>
          <w:rFonts w:ascii="Times New Roman" w:hAnsi="Times New Roman"/>
          <w:sz w:val="24"/>
          <w:szCs w:val="24"/>
          <w:lang w:eastAsia="ru-RU"/>
        </w:rPr>
        <w:t>В материалах и документах к законопроекту поступление налога в областной бюджет прогнозируется в следующих объемах:</w:t>
      </w:r>
    </w:p>
    <w:p w:rsidR="001E4617" w:rsidRPr="000D14BF" w:rsidRDefault="001E4617" w:rsidP="00857B4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5 967,1</w:t>
      </w:r>
      <w:r w:rsidRPr="000D14BF">
        <w:rPr>
          <w:rFonts w:ascii="Times New Roman" w:hAnsi="Times New Roman"/>
          <w:sz w:val="24"/>
          <w:szCs w:val="24"/>
          <w:lang w:eastAsia="ru-RU"/>
        </w:rPr>
        <w:t xml:space="preserve"> млн.руб. в</w:t>
      </w:r>
      <w:r>
        <w:rPr>
          <w:rFonts w:ascii="Times New Roman" w:hAnsi="Times New Roman"/>
          <w:sz w:val="24"/>
          <w:szCs w:val="24"/>
          <w:lang w:eastAsia="ru-RU"/>
        </w:rPr>
        <w:t xml:space="preserve"> 2020 году, с темпом роста 104,3</w:t>
      </w:r>
      <w:r w:rsidRPr="000D14BF">
        <w:rPr>
          <w:rFonts w:ascii="Times New Roman" w:hAnsi="Times New Roman"/>
          <w:sz w:val="24"/>
          <w:szCs w:val="24"/>
          <w:lang w:eastAsia="ru-RU"/>
        </w:rPr>
        <w:t xml:space="preserve"> %;</w:t>
      </w:r>
    </w:p>
    <w:p w:rsidR="001E4617" w:rsidRPr="000D14BF" w:rsidRDefault="001E4617" w:rsidP="00857B4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5 988,8</w:t>
      </w:r>
      <w:r w:rsidRPr="000D14BF">
        <w:rPr>
          <w:rFonts w:ascii="Times New Roman" w:hAnsi="Times New Roman"/>
          <w:sz w:val="24"/>
          <w:szCs w:val="24"/>
          <w:lang w:eastAsia="ru-RU"/>
        </w:rPr>
        <w:t xml:space="preserve"> млн.руб. в 2021 году, с темпом роста 1</w:t>
      </w:r>
      <w:r>
        <w:rPr>
          <w:rFonts w:ascii="Times New Roman" w:hAnsi="Times New Roman"/>
          <w:sz w:val="24"/>
          <w:szCs w:val="24"/>
          <w:lang w:eastAsia="ru-RU"/>
        </w:rPr>
        <w:t>00,4</w:t>
      </w:r>
      <w:r w:rsidRPr="000D14BF">
        <w:rPr>
          <w:rFonts w:ascii="Times New Roman" w:hAnsi="Times New Roman"/>
          <w:sz w:val="24"/>
          <w:szCs w:val="24"/>
          <w:lang w:eastAsia="ru-RU"/>
        </w:rPr>
        <w:t xml:space="preserve"> %;</w:t>
      </w:r>
    </w:p>
    <w:p w:rsidR="001E4617" w:rsidRPr="000D14BF" w:rsidRDefault="001E4617" w:rsidP="00857B4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6 028,5</w:t>
      </w:r>
      <w:r w:rsidRPr="000D14BF">
        <w:rPr>
          <w:rFonts w:ascii="Times New Roman" w:hAnsi="Times New Roman"/>
          <w:sz w:val="24"/>
          <w:szCs w:val="24"/>
          <w:lang w:eastAsia="ru-RU"/>
        </w:rPr>
        <w:t xml:space="preserve"> млн.руб. в</w:t>
      </w:r>
      <w:r>
        <w:rPr>
          <w:rFonts w:ascii="Times New Roman" w:hAnsi="Times New Roman"/>
          <w:sz w:val="24"/>
          <w:szCs w:val="24"/>
          <w:lang w:eastAsia="ru-RU"/>
        </w:rPr>
        <w:t xml:space="preserve"> 2022 году, с темпом роста 100,7</w:t>
      </w:r>
      <w:r w:rsidRPr="000D14BF">
        <w:rPr>
          <w:rFonts w:ascii="Times New Roman" w:hAnsi="Times New Roman"/>
          <w:sz w:val="24"/>
          <w:szCs w:val="24"/>
          <w:lang w:eastAsia="ru-RU"/>
        </w:rPr>
        <w:t xml:space="preserve"> %.</w:t>
      </w:r>
    </w:p>
    <w:p w:rsidR="001E4617" w:rsidRDefault="001E4617" w:rsidP="00EA3B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ucida Grande" w:hAnsi="Lucida Grande"/>
          <w:color w:val="000000"/>
          <w:sz w:val="24"/>
          <w:szCs w:val="24"/>
          <w:shd w:val="clear" w:color="auto" w:fill="FFFFFF"/>
        </w:rPr>
      </w:pPr>
      <w:r w:rsidRPr="00857B4A">
        <w:rPr>
          <w:rFonts w:ascii="Lucida Grande" w:hAnsi="Lucida Grande"/>
          <w:color w:val="000000"/>
          <w:sz w:val="24"/>
          <w:szCs w:val="24"/>
          <w:shd w:val="clear" w:color="auto" w:fill="FFFFFF"/>
        </w:rPr>
        <w:t>За 8 месяцев текущего года объем поступлений по налогу на имущество организаций составил 4 733,8 млн.руб. (темп роста к аналогичному периоду прошлого года – 92,2 %). Учитывая объемы поступлений по налогу за 2016 – 2018 гг., и за 8 месяцев в указанных периодах, темпы роста фактических поступлений в текущем году, а также оценку УФНС по Томской области</w:t>
      </w:r>
      <w:r>
        <w:rPr>
          <w:rFonts w:ascii="Lucida Grande" w:hAnsi="Lucida Grande"/>
          <w:color w:val="000000"/>
          <w:sz w:val="24"/>
          <w:szCs w:val="24"/>
          <w:shd w:val="clear" w:color="auto" w:fill="FFFFFF"/>
        </w:rPr>
        <w:t>,</w:t>
      </w:r>
      <w:r w:rsidRPr="00857B4A"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 предполагаемый оценочный объем по налогу на имущество организаций </w:t>
      </w:r>
      <w:r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за 2019 год </w:t>
      </w:r>
      <w:r w:rsidRPr="00857B4A">
        <w:rPr>
          <w:rFonts w:ascii="Lucida Grande" w:hAnsi="Lucida Grande"/>
          <w:color w:val="000000"/>
          <w:sz w:val="24"/>
          <w:szCs w:val="24"/>
          <w:shd w:val="clear" w:color="auto" w:fill="FFFFFF"/>
        </w:rPr>
        <w:t>может составить в пределах 6 107 млн.руб. (+ 387,5 мл</w:t>
      </w:r>
      <w:r>
        <w:rPr>
          <w:rFonts w:ascii="Lucida Grande" w:hAnsi="Lucida Grande"/>
          <w:color w:val="000000"/>
          <w:sz w:val="24"/>
          <w:szCs w:val="24"/>
          <w:shd w:val="clear" w:color="auto" w:fill="FFFFFF"/>
        </w:rPr>
        <w:t>н.руб. к оценке Администрации).</w:t>
      </w:r>
    </w:p>
    <w:p w:rsidR="001E4617" w:rsidRDefault="001E4617" w:rsidP="00EA3B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ucida Grande" w:hAnsi="Lucida Grande"/>
          <w:color w:val="000000"/>
          <w:sz w:val="24"/>
          <w:szCs w:val="24"/>
          <w:shd w:val="clear" w:color="auto" w:fill="FFFFFF"/>
        </w:rPr>
      </w:pPr>
      <w:r w:rsidRPr="00857B4A"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С учетом </w:t>
      </w:r>
      <w:r>
        <w:rPr>
          <w:rFonts w:ascii="Lucida Grande" w:hAnsi="Lucida Grande"/>
          <w:color w:val="000000"/>
          <w:sz w:val="24"/>
          <w:szCs w:val="24"/>
          <w:shd w:val="clear" w:color="auto" w:fill="FFFFFF"/>
        </w:rPr>
        <w:t>ожидаемого поступления</w:t>
      </w:r>
      <w:r w:rsidRPr="00857B4A"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 налога в 2019 году и факторов, отраженных в пояснительной записке, прогноз поступления по налогу на имущество организаций может быть скорректирован в сторону увеличения с незначительным приросто</w:t>
      </w:r>
      <w:r>
        <w:rPr>
          <w:rFonts w:ascii="Lucida Grande" w:hAnsi="Lucida Grande"/>
          <w:color w:val="000000"/>
          <w:sz w:val="24"/>
          <w:szCs w:val="24"/>
          <w:shd w:val="clear" w:color="auto" w:fill="FFFFFF"/>
        </w:rPr>
        <w:t>м к уровню текущего г</w:t>
      </w:r>
      <w:r w:rsidRPr="00857B4A">
        <w:rPr>
          <w:rFonts w:ascii="Lucida Grande" w:hAnsi="Lucida Grande"/>
          <w:color w:val="000000"/>
          <w:sz w:val="24"/>
          <w:szCs w:val="24"/>
          <w:shd w:val="clear" w:color="auto" w:fill="FFFFFF"/>
        </w:rPr>
        <w:t>ода:</w:t>
      </w:r>
      <w:r w:rsidRPr="00857B4A">
        <w:rPr>
          <w:rFonts w:ascii="Lucida Grande" w:hAnsi="Lucida Grande"/>
          <w:color w:val="000000"/>
          <w:sz w:val="24"/>
          <w:szCs w:val="24"/>
          <w:shd w:val="clear" w:color="auto" w:fill="FFFFFF"/>
        </w:rPr>
        <w:br/>
        <w:t>- 2020 год – 6</w:t>
      </w:r>
      <w:r>
        <w:rPr>
          <w:rFonts w:ascii="Lucida Grande" w:hAnsi="Lucida Grande"/>
          <w:color w:val="000000"/>
          <w:sz w:val="24"/>
          <w:szCs w:val="24"/>
          <w:shd w:val="clear" w:color="auto" w:fill="FFFFFF"/>
        </w:rPr>
        <w:t> </w:t>
      </w:r>
      <w:r w:rsidRPr="00857B4A">
        <w:rPr>
          <w:rFonts w:ascii="Lucida Grande" w:hAnsi="Lucida Grande"/>
          <w:color w:val="000000"/>
          <w:sz w:val="24"/>
          <w:szCs w:val="24"/>
          <w:shd w:val="clear" w:color="auto" w:fill="FFFFFF"/>
        </w:rPr>
        <w:t>185</w:t>
      </w:r>
      <w:r>
        <w:rPr>
          <w:rFonts w:ascii="Lucida Grande" w:hAnsi="Lucida Grande"/>
          <w:color w:val="000000"/>
          <w:sz w:val="24"/>
          <w:szCs w:val="24"/>
          <w:shd w:val="clear" w:color="auto" w:fill="FFFFFF"/>
        </w:rPr>
        <w:t>,</w:t>
      </w:r>
      <w:r w:rsidRPr="00857B4A">
        <w:rPr>
          <w:rFonts w:ascii="Lucida Grande" w:hAnsi="Lucida Grande"/>
          <w:color w:val="000000"/>
          <w:sz w:val="24"/>
          <w:szCs w:val="24"/>
          <w:shd w:val="clear" w:color="auto" w:fill="FFFFFF"/>
        </w:rPr>
        <w:t>5</w:t>
      </w:r>
      <w:r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 млн</w:t>
      </w:r>
      <w:r w:rsidRPr="00857B4A">
        <w:rPr>
          <w:rFonts w:ascii="Lucida Grande" w:hAnsi="Lucida Grande"/>
          <w:color w:val="000000"/>
          <w:sz w:val="24"/>
          <w:szCs w:val="24"/>
          <w:shd w:val="clear" w:color="auto" w:fill="FFFFFF"/>
        </w:rPr>
        <w:t>.руб. (</w:t>
      </w:r>
      <w:r>
        <w:rPr>
          <w:rFonts w:ascii="Lucida Grande" w:hAnsi="Lucida Grande"/>
          <w:b/>
          <w:color w:val="000000"/>
          <w:sz w:val="24"/>
          <w:szCs w:val="24"/>
          <w:shd w:val="clear" w:color="auto" w:fill="FFFFFF"/>
        </w:rPr>
        <w:t>+</w:t>
      </w:r>
      <w:r w:rsidRPr="00857B4A">
        <w:rPr>
          <w:rFonts w:ascii="Lucida Grande" w:hAnsi="Lucida Grande"/>
          <w:b/>
          <w:color w:val="000000"/>
          <w:sz w:val="24"/>
          <w:szCs w:val="24"/>
          <w:shd w:val="clear" w:color="auto" w:fill="FFFFFF"/>
        </w:rPr>
        <w:t>218,4</w:t>
      </w:r>
      <w:r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 млн</w:t>
      </w:r>
      <w:r w:rsidRPr="00857B4A">
        <w:rPr>
          <w:rFonts w:ascii="Lucida Grande" w:hAnsi="Lucida Grande"/>
          <w:color w:val="000000"/>
          <w:sz w:val="24"/>
          <w:szCs w:val="24"/>
          <w:shd w:val="clear" w:color="auto" w:fill="FFFFFF"/>
        </w:rPr>
        <w:t>.руб. к прогнозу Администрации);</w:t>
      </w:r>
      <w:r w:rsidRPr="00857B4A">
        <w:rPr>
          <w:rFonts w:ascii="Lucida Grande" w:hAnsi="Lucida Grande"/>
          <w:color w:val="000000"/>
          <w:sz w:val="24"/>
          <w:szCs w:val="24"/>
          <w:shd w:val="clear" w:color="auto" w:fill="FFFFFF"/>
        </w:rPr>
        <w:br/>
        <w:t>- 2021 год – 6</w:t>
      </w:r>
      <w:r>
        <w:rPr>
          <w:rFonts w:ascii="Lucida Grande" w:hAnsi="Lucida Grande"/>
          <w:color w:val="000000"/>
          <w:sz w:val="24"/>
          <w:szCs w:val="24"/>
          <w:shd w:val="clear" w:color="auto" w:fill="FFFFFF"/>
        </w:rPr>
        <w:t> </w:t>
      </w:r>
      <w:r w:rsidRPr="00857B4A">
        <w:rPr>
          <w:rFonts w:ascii="Lucida Grande" w:hAnsi="Lucida Grande"/>
          <w:color w:val="000000"/>
          <w:sz w:val="24"/>
          <w:szCs w:val="24"/>
          <w:shd w:val="clear" w:color="auto" w:fill="FFFFFF"/>
        </w:rPr>
        <w:t>210</w:t>
      </w:r>
      <w:r>
        <w:rPr>
          <w:rFonts w:ascii="Lucida Grande" w:hAnsi="Lucida Grande"/>
          <w:color w:val="000000"/>
          <w:sz w:val="24"/>
          <w:szCs w:val="24"/>
          <w:shd w:val="clear" w:color="auto" w:fill="FFFFFF"/>
        </w:rPr>
        <w:t>,</w:t>
      </w:r>
      <w:r w:rsidRPr="00857B4A">
        <w:rPr>
          <w:rFonts w:ascii="Lucida Grande" w:hAnsi="Lucida Grande"/>
          <w:color w:val="000000"/>
          <w:sz w:val="24"/>
          <w:szCs w:val="24"/>
          <w:shd w:val="clear" w:color="auto" w:fill="FFFFFF"/>
        </w:rPr>
        <w:t>2</w:t>
      </w:r>
      <w:r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 млн.руб. (+</w:t>
      </w:r>
      <w:r w:rsidRPr="00857B4A">
        <w:rPr>
          <w:rFonts w:ascii="Lucida Grande" w:hAnsi="Lucida Grande"/>
          <w:color w:val="000000"/>
          <w:sz w:val="24"/>
          <w:szCs w:val="24"/>
          <w:shd w:val="clear" w:color="auto" w:fill="FFFFFF"/>
        </w:rPr>
        <w:t>221</w:t>
      </w:r>
      <w:r>
        <w:rPr>
          <w:rFonts w:ascii="Lucida Grande" w:hAnsi="Lucida Grande"/>
          <w:color w:val="000000"/>
          <w:sz w:val="24"/>
          <w:szCs w:val="24"/>
          <w:shd w:val="clear" w:color="auto" w:fill="FFFFFF"/>
        </w:rPr>
        <w:t>,5 млн</w:t>
      </w:r>
      <w:r w:rsidRPr="00857B4A">
        <w:rPr>
          <w:rFonts w:ascii="Lucida Grande" w:hAnsi="Lucida Grande"/>
          <w:color w:val="000000"/>
          <w:sz w:val="24"/>
          <w:szCs w:val="24"/>
          <w:shd w:val="clear" w:color="auto" w:fill="FFFFFF"/>
        </w:rPr>
        <w:t>.руб. к прогнозу Администрации);</w:t>
      </w:r>
    </w:p>
    <w:p w:rsidR="001E4617" w:rsidRDefault="001E4617" w:rsidP="00F165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ucida Grande" w:hAnsi="Lucida Grande"/>
          <w:color w:val="000000"/>
          <w:sz w:val="24"/>
          <w:szCs w:val="24"/>
          <w:shd w:val="clear" w:color="auto" w:fill="FFFFFF"/>
        </w:rPr>
      </w:pPr>
      <w:r w:rsidRPr="00857B4A"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 </w:t>
      </w:r>
      <w:r w:rsidRPr="00857B4A">
        <w:rPr>
          <w:rFonts w:ascii="Lucida Grande" w:hAnsi="Lucida Grande"/>
          <w:color w:val="000000"/>
          <w:sz w:val="24"/>
          <w:szCs w:val="24"/>
          <w:shd w:val="clear" w:color="auto" w:fill="FFFFFF"/>
        </w:rPr>
        <w:t>2022 год – 6</w:t>
      </w:r>
      <w:r>
        <w:rPr>
          <w:rFonts w:ascii="Lucida Grande" w:hAnsi="Lucida Grande"/>
          <w:color w:val="000000"/>
          <w:sz w:val="24"/>
          <w:szCs w:val="24"/>
          <w:shd w:val="clear" w:color="auto" w:fill="FFFFFF"/>
        </w:rPr>
        <w:t> </w:t>
      </w:r>
      <w:r w:rsidRPr="00857B4A">
        <w:rPr>
          <w:rFonts w:ascii="Lucida Grande" w:hAnsi="Lucida Grande"/>
          <w:color w:val="000000"/>
          <w:sz w:val="24"/>
          <w:szCs w:val="24"/>
          <w:shd w:val="clear" w:color="auto" w:fill="FFFFFF"/>
        </w:rPr>
        <w:t>235</w:t>
      </w:r>
      <w:r>
        <w:rPr>
          <w:rFonts w:ascii="Lucida Grande" w:hAnsi="Lucida Grande"/>
          <w:color w:val="000000"/>
          <w:sz w:val="24"/>
          <w:szCs w:val="24"/>
          <w:shd w:val="clear" w:color="auto" w:fill="FFFFFF"/>
        </w:rPr>
        <w:t>,1 млн.руб. (+</w:t>
      </w:r>
      <w:r w:rsidRPr="00857B4A">
        <w:rPr>
          <w:rFonts w:ascii="Lucida Grande" w:hAnsi="Lucida Grande"/>
          <w:color w:val="000000"/>
          <w:sz w:val="24"/>
          <w:szCs w:val="24"/>
          <w:shd w:val="clear" w:color="auto" w:fill="FFFFFF"/>
        </w:rPr>
        <w:t>206</w:t>
      </w:r>
      <w:r>
        <w:rPr>
          <w:rFonts w:ascii="Lucida Grande" w:hAnsi="Lucida Grande"/>
          <w:color w:val="000000"/>
          <w:sz w:val="24"/>
          <w:szCs w:val="24"/>
          <w:shd w:val="clear" w:color="auto" w:fill="FFFFFF"/>
        </w:rPr>
        <w:t>,6 млн</w:t>
      </w:r>
      <w:r w:rsidRPr="00857B4A">
        <w:rPr>
          <w:rFonts w:ascii="Lucida Grande" w:hAnsi="Lucida Grande"/>
          <w:color w:val="000000"/>
          <w:sz w:val="24"/>
          <w:szCs w:val="24"/>
          <w:shd w:val="clear" w:color="auto" w:fill="FFFFFF"/>
        </w:rPr>
        <w:t>.руб. к прогнозу Администрации).</w:t>
      </w:r>
    </w:p>
    <w:p w:rsidR="001E4617" w:rsidRPr="00857B4A" w:rsidRDefault="001E4617" w:rsidP="00EA3B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E4617" w:rsidRDefault="001E4617" w:rsidP="00EA3B98">
      <w:pPr>
        <w:spacing w:after="0" w:line="240" w:lineRule="auto"/>
        <w:ind w:right="-1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EA3B98">
        <w:rPr>
          <w:rFonts w:ascii="Times New Roman" w:hAnsi="Times New Roman"/>
          <w:b/>
          <w:sz w:val="24"/>
          <w:szCs w:val="24"/>
          <w:lang w:eastAsia="ru-RU"/>
        </w:rPr>
        <w:t>5.5. Транспортный налог</w:t>
      </w:r>
    </w:p>
    <w:p w:rsidR="001E4617" w:rsidRDefault="001E4617" w:rsidP="00EA3B98">
      <w:pPr>
        <w:spacing w:after="0" w:line="240" w:lineRule="auto"/>
        <w:ind w:right="-1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1E4617" w:rsidRPr="000D14BF" w:rsidRDefault="001E4617" w:rsidP="000D14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4BF">
        <w:rPr>
          <w:rFonts w:ascii="Times New Roman" w:hAnsi="Times New Roman"/>
          <w:sz w:val="24"/>
          <w:szCs w:val="24"/>
          <w:lang w:eastAsia="ru-RU"/>
        </w:rPr>
        <w:t>По оценке Администрации ожидаемое исполнение областного бюджета в 2019 году по транспортному налогу может составить 969,1 млн.руб., темп роста к уровню  2018 года – 126,7 %.</w:t>
      </w:r>
    </w:p>
    <w:p w:rsidR="001E4617" w:rsidRPr="000D14BF" w:rsidRDefault="001E4617" w:rsidP="000D14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4BF">
        <w:rPr>
          <w:rFonts w:ascii="Times New Roman" w:hAnsi="Times New Roman"/>
          <w:sz w:val="24"/>
          <w:szCs w:val="24"/>
          <w:lang w:eastAsia="ru-RU"/>
        </w:rPr>
        <w:t>В материалах и документах к законопроекту поступление транспортного налога в областной бюджет прогнозируется в следующих объемах:</w:t>
      </w:r>
    </w:p>
    <w:p w:rsidR="001E4617" w:rsidRPr="000D14BF" w:rsidRDefault="001E4617" w:rsidP="000D14B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4BF">
        <w:rPr>
          <w:rFonts w:ascii="Times New Roman" w:hAnsi="Times New Roman"/>
          <w:sz w:val="24"/>
          <w:szCs w:val="24"/>
          <w:lang w:eastAsia="ru-RU"/>
        </w:rPr>
        <w:t>990,9 млн.руб. в 2020 году, с темпом роста 102,2 %;</w:t>
      </w:r>
    </w:p>
    <w:p w:rsidR="001E4617" w:rsidRPr="000D14BF" w:rsidRDefault="001E4617" w:rsidP="000D14B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4BF">
        <w:rPr>
          <w:rFonts w:ascii="Times New Roman" w:hAnsi="Times New Roman"/>
          <w:sz w:val="24"/>
          <w:szCs w:val="24"/>
          <w:lang w:eastAsia="ru-RU"/>
        </w:rPr>
        <w:t>1 013,2 млн.руб. в 2021 году, с темпом роста 102,2 %;</w:t>
      </w:r>
    </w:p>
    <w:p w:rsidR="001E4617" w:rsidRPr="000D14BF" w:rsidRDefault="001E4617" w:rsidP="000D14B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4BF">
        <w:rPr>
          <w:rFonts w:ascii="Times New Roman" w:hAnsi="Times New Roman"/>
          <w:sz w:val="24"/>
          <w:szCs w:val="24"/>
          <w:lang w:eastAsia="ru-RU"/>
        </w:rPr>
        <w:t>1 035,6 млн.руб. в 2022 году, с темпом роста 102,2 %.</w:t>
      </w:r>
    </w:p>
    <w:p w:rsidR="001E4617" w:rsidRPr="000D14BF" w:rsidRDefault="001E4617" w:rsidP="000D14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4BF">
        <w:rPr>
          <w:rFonts w:ascii="Times New Roman" w:hAnsi="Times New Roman"/>
          <w:sz w:val="24"/>
          <w:szCs w:val="24"/>
          <w:lang w:eastAsia="ru-RU"/>
        </w:rPr>
        <w:t>Учитывая особенности начисления и уплаты транспортного налога в прогнозируемом периоде, отраженные в Пояснительной записке, сохранение темпов роста транспортных средств, поставленных на учет в ГИБДД УМВД России по Томской области, и оценку по объемам поступлений в 2019 году, палатой произведён расчет прогнозных объемов поступлений на 2020 год и на плановый период:</w:t>
      </w:r>
    </w:p>
    <w:p w:rsidR="001E4617" w:rsidRPr="000D14BF" w:rsidRDefault="001E4617" w:rsidP="000D14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4BF">
        <w:rPr>
          <w:rFonts w:ascii="Times New Roman" w:hAnsi="Times New Roman"/>
          <w:sz w:val="24"/>
          <w:szCs w:val="24"/>
          <w:lang w:eastAsia="ru-RU"/>
        </w:rPr>
        <w:t xml:space="preserve">- 2020 год – 1 004 199,3 тыс.руб. </w:t>
      </w:r>
      <w:r w:rsidRPr="000D14BF">
        <w:rPr>
          <w:rFonts w:ascii="Times New Roman" w:hAnsi="Times New Roman"/>
          <w:b/>
          <w:sz w:val="24"/>
          <w:szCs w:val="24"/>
          <w:lang w:eastAsia="ru-RU"/>
        </w:rPr>
        <w:t>(+ 13 313,3</w:t>
      </w:r>
      <w:r w:rsidRPr="000D14BF">
        <w:rPr>
          <w:rFonts w:ascii="Times New Roman" w:hAnsi="Times New Roman"/>
          <w:sz w:val="24"/>
          <w:szCs w:val="24"/>
          <w:lang w:eastAsia="ru-RU"/>
        </w:rPr>
        <w:t xml:space="preserve"> тыс.руб. к прогнозу Администрации);</w:t>
      </w:r>
    </w:p>
    <w:p w:rsidR="001E4617" w:rsidRPr="000D14BF" w:rsidRDefault="001E4617" w:rsidP="000D14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4BF">
        <w:rPr>
          <w:rFonts w:ascii="Times New Roman" w:hAnsi="Times New Roman"/>
          <w:sz w:val="24"/>
          <w:szCs w:val="24"/>
          <w:lang w:eastAsia="ru-RU"/>
        </w:rPr>
        <w:t>- 2021 год – 1 026 291,7 тыс.руб. (+ 13 128,4 тыс.руб. к прогнозу Администрации);</w:t>
      </w:r>
    </w:p>
    <w:p w:rsidR="001E4617" w:rsidRDefault="001E4617" w:rsidP="000D14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4BF">
        <w:rPr>
          <w:rFonts w:ascii="Times New Roman" w:hAnsi="Times New Roman"/>
          <w:sz w:val="24"/>
          <w:szCs w:val="24"/>
          <w:lang w:eastAsia="ru-RU"/>
        </w:rPr>
        <w:t>- 2022 год – 1 048 870,1 тыс.руб. (+ 12 917,1 тыс.руб. к прогнозу Администрации).</w:t>
      </w:r>
    </w:p>
    <w:p w:rsidR="00584802" w:rsidRPr="000D14BF" w:rsidRDefault="00584802" w:rsidP="000D14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4617" w:rsidRDefault="001E4617" w:rsidP="00EA3B98">
      <w:pPr>
        <w:spacing w:after="0" w:line="240" w:lineRule="auto"/>
        <w:ind w:right="-1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1E4617" w:rsidRPr="00EA3B98" w:rsidRDefault="001E4617" w:rsidP="00EA3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A3B98">
        <w:rPr>
          <w:rFonts w:ascii="Times New Roman" w:hAnsi="Times New Roman"/>
          <w:b/>
          <w:sz w:val="24"/>
          <w:szCs w:val="24"/>
          <w:lang w:eastAsia="ru-RU"/>
        </w:rPr>
        <w:lastRenderedPageBreak/>
        <w:t>5.6.</w:t>
      </w:r>
      <w:r w:rsidRPr="00EA3B9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Доходы от использования имущества, находящегося в государственной и муниципальной собственности</w:t>
      </w:r>
    </w:p>
    <w:p w:rsidR="001E4617" w:rsidRDefault="001E4617" w:rsidP="00EA3B9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B9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EA3B9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1E4617" w:rsidRPr="00EF4B3A" w:rsidRDefault="001E4617" w:rsidP="00EF4B3A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F4B3A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Согласно Законопроекту, </w:t>
      </w:r>
      <w:r w:rsidRPr="00EF4B3A">
        <w:rPr>
          <w:rFonts w:ascii="Times New Roman" w:hAnsi="Times New Roman"/>
          <w:sz w:val="26"/>
          <w:szCs w:val="26"/>
          <w:shd w:val="clear" w:color="auto" w:fill="FFFFFF"/>
        </w:rPr>
        <w:t>д</w:t>
      </w:r>
      <w:r w:rsidRPr="00EF4B3A">
        <w:rPr>
          <w:rFonts w:ascii="Times New Roman" w:hAnsi="Times New Roman"/>
          <w:sz w:val="24"/>
          <w:szCs w:val="24"/>
          <w:shd w:val="clear" w:color="auto" w:fill="FFFFFF"/>
        </w:rPr>
        <w:t xml:space="preserve">оходы областного бюджета от использования имущества, находящегося в государственной и муниципальной собственности, в 2020 году запланированы в сумме 61 376,1 тыс.руб., что ниже уровня ожидаемого исполнения за 2019 год (73 470,7 тыс.руб.) на 17% или на 12 094,6 тыс.руб., при продолжающемся снижении доли данного вида доходов в общей структуре налоговых и неналоговых доходов областного бюджета с 0,12% (0,15% - по ожидаемому исполнению в 2019 году) до 0,11% в 2020 году (в 2021 году - 0,10%, в 2022 году - 0,09%). В 2021 году данные доходы снизятся до 59 864,4 тыс.руб., в 2022 году - до 58 763 тыс.руб. Следует вновь отметить непрозрачность формирования доходной базы областного бюджета по </w:t>
      </w:r>
      <w:r w:rsidRPr="00EF4B3A">
        <w:rPr>
          <w:rFonts w:ascii="Times New Roman" w:hAnsi="Times New Roman"/>
          <w:sz w:val="26"/>
          <w:szCs w:val="26"/>
          <w:shd w:val="clear" w:color="auto" w:fill="FFFFFF"/>
        </w:rPr>
        <w:t>д</w:t>
      </w:r>
      <w:r w:rsidRPr="00EF4B3A">
        <w:rPr>
          <w:rFonts w:ascii="Times New Roman" w:hAnsi="Times New Roman"/>
          <w:sz w:val="24"/>
          <w:szCs w:val="24"/>
          <w:shd w:val="clear" w:color="auto" w:fill="FFFFFF"/>
        </w:rPr>
        <w:t xml:space="preserve">оходам от использования имущества, находящегося в государственной собственности Томской области - </w:t>
      </w:r>
      <w:r w:rsidRPr="00EF4B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материалах к Законопроекту отсутствуют, как и в предыдущие годы, их обоснования, расчеты (имеется </w:t>
      </w:r>
      <w:r w:rsidRPr="00EF4B3A">
        <w:rPr>
          <w:rFonts w:ascii="Times New Roman" w:hAnsi="Times New Roman"/>
          <w:sz w:val="24"/>
          <w:szCs w:val="24"/>
          <w:shd w:val="clear" w:color="auto" w:fill="FFFFFF"/>
        </w:rPr>
        <w:t xml:space="preserve">лишь ссылка, что прогноз этих поступлений произведен по данным главного администратора доходов - Департамента по управлению государственной собственностью Томской области). </w:t>
      </w:r>
    </w:p>
    <w:p w:rsidR="001E4617" w:rsidRPr="00EF4B3A" w:rsidRDefault="001E4617" w:rsidP="00EF4B3A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E4617" w:rsidRPr="00EF4B3A" w:rsidRDefault="001E4617" w:rsidP="00EF4B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B3A">
        <w:rPr>
          <w:rFonts w:ascii="Times New Roman" w:hAnsi="Times New Roman"/>
          <w:sz w:val="24"/>
          <w:szCs w:val="24"/>
        </w:rPr>
        <w:t xml:space="preserve">Ожидаемое исполнение за 2019 год </w:t>
      </w:r>
      <w:r w:rsidRPr="00EF4B3A">
        <w:rPr>
          <w:rFonts w:ascii="Times New Roman" w:hAnsi="Times New Roman"/>
          <w:b/>
          <w:sz w:val="24"/>
          <w:szCs w:val="24"/>
        </w:rPr>
        <w:t xml:space="preserve">доходов </w:t>
      </w:r>
      <w:r w:rsidRPr="00EF4B3A">
        <w:rPr>
          <w:rFonts w:ascii="Times New Roman" w:hAnsi="Times New Roman"/>
          <w:b/>
          <w:snapToGrid w:val="0"/>
          <w:sz w:val="24"/>
          <w:szCs w:val="24"/>
        </w:rPr>
        <w:t>в виде прибыли, приходящейся на доли в уставных капиталах хозобществ, или дивидендов по акциям, принадлежащим Томской области</w:t>
      </w:r>
      <w:r w:rsidRPr="00EF4B3A">
        <w:rPr>
          <w:rFonts w:ascii="Times New Roman" w:hAnsi="Times New Roman"/>
          <w:snapToGrid w:val="0"/>
          <w:sz w:val="24"/>
          <w:szCs w:val="24"/>
        </w:rPr>
        <w:t>, по Законопроекту -</w:t>
      </w:r>
      <w:r w:rsidRPr="00EF4B3A">
        <w:rPr>
          <w:rFonts w:ascii="Times New Roman" w:hAnsi="Times New Roman"/>
          <w:sz w:val="24"/>
          <w:szCs w:val="24"/>
        </w:rPr>
        <w:t xml:space="preserve"> 11 315 тыс.руб. при установленном плане в сумме 11 249,6 тыс.руб. Фактически за 9 месяцев текущего года поступило 11 315,5 тыс.руб., из них дивиденды 4 хозобществ со 100% долей Томской области в уставном капитале - 8 135,2 тыс.руб. и 3 хозобществ с долей Томской области в уставном капитале до 9% - 3 180,3 тыс.руб. Прогноз поступлений дивидендных платежей в 2020 году в сумме 11 733,7 тыс.руб. (104,3% к плану на 2019 год), в 2021 и 2022 годах - соответственно 12 156,1 тыс.руб. (103,6% к плану на 2020 год) и 12 630,2 тыс.руб. (103,9% к плану на 2021 год) определен исходя из ожидаемого исполнения в текущем году с применением прогнозных значений среднегодовых индексов потребительских цен в соответствующем периоде (по базовому сценарию прогноза социально-экономического развития Томской области на среднесрочный период).</w:t>
      </w:r>
    </w:p>
    <w:p w:rsidR="001E4617" w:rsidRPr="00EF4B3A" w:rsidRDefault="001E4617" w:rsidP="00EF4B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B3A">
        <w:rPr>
          <w:rFonts w:ascii="Times New Roman" w:hAnsi="Times New Roman"/>
          <w:sz w:val="24"/>
          <w:szCs w:val="24"/>
        </w:rPr>
        <w:t xml:space="preserve">По оценке Контрольно-счетной палаты, прогноз дивидендных выплат, произведенный методом прямого расчета исходя из утвержденных программ финансово-хозяйственной деятельности на 2019 - 2022 г.г. (в соответствии с </w:t>
      </w:r>
      <w:r w:rsidRPr="00EF4B3A">
        <w:rPr>
          <w:rFonts w:ascii="Times New Roman" w:hAnsi="Times New Roman"/>
          <w:color w:val="000000"/>
          <w:sz w:val="24"/>
          <w:szCs w:val="24"/>
        </w:rPr>
        <w:t xml:space="preserve">Методикой прогнозирования поступлений доходов в областной бюджет, главным администратором которых является Департамент по управлению государственной собственностью Томской области) по </w:t>
      </w:r>
      <w:r w:rsidRPr="00EF4B3A">
        <w:rPr>
          <w:rFonts w:ascii="Times New Roman" w:hAnsi="Times New Roman"/>
          <w:sz w:val="24"/>
          <w:szCs w:val="24"/>
        </w:rPr>
        <w:t>8 из 18 хозобществ, акции которых находятся в областной собственности, может составить в 2020 году - 10 664 тыс.руб, в 2021 году - 10 726 тыс.руб, в 2022 году - 10 652 тыс.руб. или меньше прогноза по Законопроекту соответственно на 1 069,7 тыс.руб., 1 430,1 тыс.руб. и 1 978,2 тыс.руб., в том числе: по 4 хозобществам (АО «ТомскАгроИнвест», ООО «Гарантийный фонд Томской области», АО «Санаторий «Чажемто» и АО «РДЦ Томской области») - исходя из норматива перечисления дивидендных выплат в размере 25% чистой прибыли, по АО «Медтехника» - 40% чистой прибыли (остальную часть прибыли указанные общества планируют оставить в своем распоряжении при отсутствии утвержденных инвестиционных проектов, смет расходования чистой прибыли на иные конкретные цели); по 2 обществам (ООО «Центр кластерного развития Томской области» и ООО «Томский кампус») - 100% чистой прибыли; по ПАО «Промстройбанк» - 2,2% чистой прибыли.</w:t>
      </w:r>
    </w:p>
    <w:p w:rsidR="001E4617" w:rsidRPr="00EF4B3A" w:rsidRDefault="001E4617" w:rsidP="00EF4B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B3A">
        <w:rPr>
          <w:rFonts w:ascii="Times New Roman" w:hAnsi="Times New Roman"/>
          <w:sz w:val="24"/>
          <w:szCs w:val="24"/>
        </w:rPr>
        <w:t xml:space="preserve">По остальным 10 действующим хозобществам распределение чистой прибыли по итогам 2019 года на выплату дивидендов в 2020 году не планируется, из них: 5 обществ, прогнозирующих завершить год с прибылью, оставляют ее в своем распоряжении (в том числе ООО «Томское время» и ООО «ФК Томь» ИНН 7017998090 - в связи с тем, что  стоимость их чистых активов меньше размеров уставного капитала и резервных фондов), 3  общества (АО «Редакция газеты «Томские новости», АО «Гармония здоровья», ПАО «Ростелеком») планируют завершить текущий год с нулевым результатом, 2 общества (АО «Томскавтотранс» и АО «ОЭЗ ТВТ «Томск») - с убытками. </w:t>
      </w:r>
    </w:p>
    <w:p w:rsidR="001E4617" w:rsidRPr="00EF4B3A" w:rsidRDefault="001E4617" w:rsidP="00EF4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F4B3A">
        <w:rPr>
          <w:rFonts w:ascii="Times New Roman" w:hAnsi="Times New Roman"/>
          <w:sz w:val="24"/>
          <w:szCs w:val="24"/>
        </w:rPr>
        <w:lastRenderedPageBreak/>
        <w:t xml:space="preserve">Исходя из вышеизложенного, отметим, что при решении вопроса о распределении прибыли продолжают не соблюдаться требования </w:t>
      </w:r>
      <w:r w:rsidRPr="00EF4B3A">
        <w:rPr>
          <w:rFonts w:ascii="Times New Roman" w:hAnsi="Times New Roman"/>
          <w:snapToGrid w:val="0"/>
          <w:sz w:val="24"/>
          <w:szCs w:val="24"/>
        </w:rPr>
        <w:t>распоряжений Администрации Томской области от 20.01.2010 № 34-ра «</w:t>
      </w:r>
      <w:r w:rsidRPr="00EF4B3A">
        <w:rPr>
          <w:rFonts w:ascii="Times New Roman" w:hAnsi="Times New Roman"/>
          <w:sz w:val="24"/>
          <w:szCs w:val="24"/>
        </w:rPr>
        <w:t>Об обеспечении поступлений в областной бюджет неналоговых доходов» и Департамента по управлению государственной собственности от 13.06.2017 № 419 «Об отдельных вопросах, связанных с представлением интересов Томской области в хозяйственных обществах, в уставном капитале которых доля Томской области составляет более 50 процентов», согласно которым предписано структурным подразделениям Администрации Томской области, исполнительным органам госвласти Томской области, курирующим деятельность хозобществ, в уставном капитале которых доля Томской области составляет более 50%, руководствоваться следующим:</w:t>
      </w:r>
      <w:r w:rsidRPr="00EF4B3A">
        <w:rPr>
          <w:rFonts w:ascii="Times New Roman" w:hAnsi="Times New Roman"/>
          <w:snapToGrid w:val="0"/>
          <w:sz w:val="24"/>
          <w:szCs w:val="24"/>
        </w:rPr>
        <w:t xml:space="preserve"> на выплату дивидендов направлять 25% чистой прибыли, а также остаток чистой прибыли, не распределенной на финансирование инвестиционных проектов и иные цели (при условии сформированной и утвержденной в составе программы финансово-хозяйственной деятельности сметы расходов на иные цели, включающей в себя конкретные направления расходов, связанные с развитием основных видов деятельности обществ). </w:t>
      </w:r>
    </w:p>
    <w:p w:rsidR="001E4617" w:rsidRPr="00EF4B3A" w:rsidRDefault="001E4617" w:rsidP="00EF4B3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B3A">
        <w:rPr>
          <w:rFonts w:ascii="Times New Roman" w:hAnsi="Times New Roman"/>
          <w:sz w:val="24"/>
          <w:szCs w:val="24"/>
        </w:rPr>
        <w:t xml:space="preserve">Также следует обратить внимание, </w:t>
      </w:r>
      <w:r w:rsidRPr="00EF4B3A">
        <w:rPr>
          <w:rFonts w:ascii="Times New Roman" w:hAnsi="Times New Roman"/>
          <w:snapToGrid w:val="0"/>
          <w:sz w:val="24"/>
          <w:szCs w:val="24"/>
        </w:rPr>
        <w:t>что в отношении акций, находящихся в федеральной собственности, Счетной палатой РФ по итогам экспертной оценки проекта федерального закона «О федеральном бюджете на 2020 год и на плановый период 2021 и 2022 годов» предложено Правительству РФ продолжить работу по  реализации</w:t>
      </w:r>
      <w:r w:rsidRPr="00EF4B3A">
        <w:rPr>
          <w:rFonts w:ascii="Times New Roman" w:hAnsi="Times New Roman"/>
          <w:snapToGrid w:val="0"/>
          <w:sz w:val="24"/>
          <w:szCs w:val="24"/>
          <w:u w:val="single"/>
        </w:rPr>
        <w:t xml:space="preserve"> единого подхода к дивидендной политике акционерных обществ в части</w:t>
      </w:r>
      <w:r w:rsidRPr="00EF4B3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F4B3A">
        <w:rPr>
          <w:rFonts w:ascii="Times New Roman" w:hAnsi="Times New Roman"/>
          <w:snapToGrid w:val="0"/>
          <w:sz w:val="24"/>
          <w:szCs w:val="24"/>
          <w:u w:val="single"/>
        </w:rPr>
        <w:t>соблюдения норматива перечисления дивидендных выплат в размере не менее 50% чистой прибыли обществ</w:t>
      </w:r>
      <w:r w:rsidRPr="00EF4B3A">
        <w:rPr>
          <w:rFonts w:ascii="Times New Roman" w:hAnsi="Times New Roman"/>
          <w:snapToGrid w:val="0"/>
          <w:sz w:val="24"/>
          <w:szCs w:val="24"/>
        </w:rPr>
        <w:t xml:space="preserve"> (определенной по международным стандартам финансовой отчетности).</w:t>
      </w:r>
    </w:p>
    <w:p w:rsidR="001E4617" w:rsidRPr="00EF4B3A" w:rsidRDefault="001E4617" w:rsidP="00EF4B3A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E4617" w:rsidRPr="00EF4B3A" w:rsidRDefault="001E4617" w:rsidP="00EF4B3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B3A">
        <w:rPr>
          <w:rFonts w:ascii="Times New Roman" w:hAnsi="Times New Roman"/>
          <w:b/>
          <w:sz w:val="24"/>
          <w:szCs w:val="24"/>
        </w:rPr>
        <w:t xml:space="preserve">Доходы в виде арендной платы, а также средства от продажи права на заключение договоров аренды за земельные участки, находящиеся в собственности Томской области, </w:t>
      </w:r>
      <w:r w:rsidRPr="00EF4B3A">
        <w:rPr>
          <w:rFonts w:ascii="Times New Roman" w:hAnsi="Times New Roman"/>
          <w:sz w:val="24"/>
          <w:szCs w:val="24"/>
        </w:rPr>
        <w:t xml:space="preserve">по Законопроекту на 2020 предусмотрены в сумме 13 119,5 тыс.руб., что составляет соответственно 101% к ожидаемому исполнению за 2019 год, принятому на уровне плана (13 032,7 тыс.руб.). Прогноз доходов по данному источнику неналоговых доходов на плановый период: 2021 год - 13 631,2 тыс.руб., 2022 год - 14 162,8 тыс. руб. (с увеличением к уровню 2020 года соответственно на 4% и 8%). </w:t>
      </w:r>
    </w:p>
    <w:p w:rsidR="001E4617" w:rsidRPr="00EF4B3A" w:rsidRDefault="001E4617" w:rsidP="00EF4B3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B3A">
        <w:rPr>
          <w:rFonts w:ascii="Times New Roman" w:hAnsi="Times New Roman"/>
          <w:sz w:val="24"/>
          <w:szCs w:val="24"/>
        </w:rPr>
        <w:t xml:space="preserve">По оценке Контрольно-счетной палаты (на основании дополнительно запрошенных у администратора доходов документов - сведений о действующих договорах аренды, об объеме дебиторской задолженности, том числе планируемой к погашению в текущем году), ожидаемое поступление данных доходов в 2019 году может составить </w:t>
      </w:r>
      <w:r w:rsidRPr="00EF4B3A">
        <w:rPr>
          <w:rFonts w:ascii="Times New Roman" w:hAnsi="Times New Roman"/>
          <w:snapToGrid w:val="0"/>
          <w:sz w:val="24"/>
          <w:szCs w:val="24"/>
        </w:rPr>
        <w:t>15 730 тыс.руб. или 121% к установленному плану</w:t>
      </w:r>
      <w:r w:rsidRPr="00EF4B3A">
        <w:rPr>
          <w:rFonts w:ascii="Times New Roman" w:hAnsi="Times New Roman"/>
          <w:sz w:val="24"/>
          <w:szCs w:val="24"/>
        </w:rPr>
        <w:t xml:space="preserve"> (с учетом взыскания задолженности за аренду 6 земельных участков, предоставленных ООО «Футбольный клуб «Томь», по решению Арбитражного суда Томской области от 15.05.2019 в сумме 1 655,2 тыс.руб. и погашения Обществом оставшейся задолженности по мере поступления финансирования до конца текущего года). Исходя из договоров аренды, действующих по состоянию на 01.10.2019, прогнозного значения индексов потребительских цен в соответствующем периоде с учетом его применения по количеству месяцев действия вновь заключенных договоров, данных о задолженности, прогнозируемой к погашению в соответствующем планируемом периоде, по оценке Контрольно-счетной палаты, возможно получение дополнительных доходов по данному источнику неналоговых доходов в 2020 году в сумме 735,9 тыс.руб., в 2021 году - 610,8 тыс.руб., в 2022 году - 601,5 тыс.руб. </w:t>
      </w:r>
    </w:p>
    <w:p w:rsidR="001E4617" w:rsidRPr="00EF4B3A" w:rsidRDefault="001E4617" w:rsidP="00EF4B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4617" w:rsidRPr="00EF4B3A" w:rsidRDefault="001E4617" w:rsidP="00EF4B3A">
      <w:pPr>
        <w:widowControl w:val="0"/>
        <w:tabs>
          <w:tab w:val="left" w:pos="567"/>
        </w:tabs>
        <w:autoSpaceDE w:val="0"/>
        <w:autoSpaceDN w:val="0"/>
        <w:adjustRightInd w:val="0"/>
        <w:spacing w:after="1" w:line="240" w:lineRule="atLeast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F4B3A">
        <w:rPr>
          <w:rFonts w:ascii="Times New Roman" w:hAnsi="Times New Roman"/>
          <w:b/>
          <w:sz w:val="24"/>
          <w:szCs w:val="24"/>
        </w:rPr>
        <w:t>Доходы, получаемые в виде арендной платы за земельные участки, расположенные в границах городских округов и сельских поселений, находящиеся в федеральной собственности, полномочия по управлению и распоряжению которыми переданы органам государственной власти субъектов РФ,</w:t>
      </w:r>
      <w:r w:rsidRPr="00EF4B3A">
        <w:rPr>
          <w:rFonts w:ascii="Times New Roman" w:hAnsi="Times New Roman"/>
          <w:sz w:val="24"/>
          <w:szCs w:val="24"/>
        </w:rPr>
        <w:t xml:space="preserve"> на 2020 год и плановый период 2021, 2022 годов Законопроектом не предусмотрены (проведение аукционов по продаже права на заключение договоров аренды указанных земельных участков, по сведениям Департамента архитектуры и строительства, Департамента по управлению государственной собственностью, в 2020 году не планируется).</w:t>
      </w:r>
    </w:p>
    <w:p w:rsidR="001E4617" w:rsidRPr="00EF4B3A" w:rsidRDefault="001E4617" w:rsidP="00EF4B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E4617" w:rsidRPr="00EF4B3A" w:rsidRDefault="001E4617" w:rsidP="00EF4B3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EF4B3A">
        <w:rPr>
          <w:rFonts w:ascii="Times New Roman" w:hAnsi="Times New Roman"/>
          <w:b/>
          <w:sz w:val="24"/>
          <w:szCs w:val="24"/>
        </w:rPr>
        <w:t>Плата по соглашениям об установлении сервитутов в отношении земельных участков, находящихся в собственности субъектов РФ,</w:t>
      </w:r>
      <w:r w:rsidRPr="00EF4B3A">
        <w:rPr>
          <w:rFonts w:ascii="Times New Roman" w:hAnsi="Times New Roman"/>
          <w:snapToGrid w:val="0"/>
          <w:sz w:val="24"/>
          <w:szCs w:val="24"/>
        </w:rPr>
        <w:t xml:space="preserve"> на 2020 год прогнозируется в сумме 47,2 тыс.руб., что на 3,7% больше ожидаемого исполнения за текущий год, которое оценено на уровне плана 2019 года (45,5 тыс.руб.). Прогноз указанных доходов на 2021, 2022 годы - 48,9 тыс.руб. и 50,8 тыс.руб. соответственно (увеличение к уровню 2020 года - на 3,6% и на 7,6% соответственно).</w:t>
      </w:r>
    </w:p>
    <w:p w:rsidR="001E4617" w:rsidRPr="00EF4B3A" w:rsidRDefault="001E4617" w:rsidP="00EF4B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E4617" w:rsidRPr="00EF4B3A" w:rsidRDefault="001E4617" w:rsidP="00EF4B3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EF4B3A">
        <w:rPr>
          <w:rFonts w:ascii="Times New Roman" w:hAnsi="Times New Roman"/>
          <w:snapToGrid w:val="0"/>
          <w:sz w:val="24"/>
          <w:szCs w:val="24"/>
        </w:rPr>
        <w:t>Ожидаемое за 2019 год исполнение д</w:t>
      </w:r>
      <w:r w:rsidRPr="00EF4B3A">
        <w:rPr>
          <w:rFonts w:ascii="Times New Roman" w:hAnsi="Times New Roman"/>
          <w:b/>
          <w:snapToGrid w:val="0"/>
          <w:sz w:val="24"/>
          <w:szCs w:val="24"/>
        </w:rPr>
        <w:t>оходов от сдачи в аренду имущества, находящегося в оперативном управлении органов государственной власти субъектов РФ и созданных ими учреждений</w:t>
      </w:r>
      <w:r w:rsidRPr="00EF4B3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F4B3A">
        <w:rPr>
          <w:rFonts w:ascii="Times New Roman" w:hAnsi="Times New Roman"/>
          <w:b/>
          <w:snapToGrid w:val="0"/>
          <w:sz w:val="24"/>
          <w:szCs w:val="24"/>
        </w:rPr>
        <w:t>(за исключением имущества бюджетных и автономных учреждений субъектов РФ)</w:t>
      </w:r>
      <w:r w:rsidRPr="00EF4B3A">
        <w:rPr>
          <w:rFonts w:ascii="Times New Roman" w:hAnsi="Times New Roman"/>
          <w:snapToGrid w:val="0"/>
          <w:sz w:val="24"/>
          <w:szCs w:val="24"/>
        </w:rPr>
        <w:t>, согласно Законопроекту - 3 427,3 тыс.руб. или 100% от плана. Доходы по данному источнику неналоговых доходов на 2020 год прогнозируются в сумме 2 610 тыс.руб., что на 817,3 тыс.руб. или на 24% меньше плана на 2019 год. Прогноз на 2021, 2022 годы - 2 704 тыс.руб. и 2 806 тыс.руб. соответственно (повышение к уровню 2020 года - на 3,6% и на 7,5% соответственно).</w:t>
      </w:r>
    </w:p>
    <w:p w:rsidR="001E4617" w:rsidRPr="00EF4B3A" w:rsidRDefault="001E4617" w:rsidP="00EF4B3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EF4B3A">
        <w:rPr>
          <w:rFonts w:ascii="Times New Roman" w:hAnsi="Times New Roman"/>
          <w:snapToGrid w:val="0"/>
          <w:sz w:val="24"/>
          <w:szCs w:val="24"/>
        </w:rPr>
        <w:t>По оценке Контрольно-счетной палаты, исходя из фактических поступлений арендных платежей за 9 месяцев текущего года и ожидаемых в 4 квартале по действующим договорам аренды, уточненное ожидаемое исполнение в 2019 году доходов от сдачи в аренду имущества, находящегося в оперативном управлении органов государственной власти субъектов РФ и созданных ими учреждений, может составить лишь 2 567 тыс.руб. (75% от установленного плана) в основном в связи с образованием задолженности по текущим арендным платежам ряда арендаторов (ООО «Восход-2000», ООО «СМП-95 Энерго», ООО «Аргументы в Томске», сумма выпадающих доходов - 276 тыс.руб.), с досрочным прекращением действующих и незаключением новых договоров аренды, непогашением задолженности прошлого года (595 тыс.руб.). Вместе с тем результаты данной оценки свидетельствуют о возможности получения дополнительных, по сравнению с Законопроектом, доходов в 2020 году - в сумме 537 тыс.руб. (с учетом заключения новых договоров аренды, не учтенных при планировании, и погашения образовавшейся в текущем году задолженности), в 2021 и 2022 годах - соответственно 300 тыс.руб. и 308 тыс.руб.</w:t>
      </w:r>
    </w:p>
    <w:p w:rsidR="001E4617" w:rsidRPr="00EF4B3A" w:rsidRDefault="001E4617" w:rsidP="00EF4B3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1E4617" w:rsidRPr="00EF4B3A" w:rsidRDefault="001E4617" w:rsidP="00EF4B3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EF4B3A">
        <w:rPr>
          <w:rFonts w:ascii="Times New Roman" w:hAnsi="Times New Roman"/>
          <w:snapToGrid w:val="0"/>
          <w:sz w:val="24"/>
          <w:szCs w:val="24"/>
        </w:rPr>
        <w:t xml:space="preserve">Согласно проекту, доходы областного бюджета </w:t>
      </w:r>
      <w:r w:rsidRPr="00EF4B3A">
        <w:rPr>
          <w:rFonts w:ascii="Times New Roman" w:hAnsi="Times New Roman"/>
          <w:b/>
          <w:snapToGrid w:val="0"/>
          <w:sz w:val="24"/>
          <w:szCs w:val="24"/>
        </w:rPr>
        <w:t>от сдачи в аренду имущества, составляющего Казну субъекта РФ (за исключением земельных участков)</w:t>
      </w:r>
      <w:r w:rsidRPr="00EF4B3A">
        <w:rPr>
          <w:rFonts w:ascii="Times New Roman" w:hAnsi="Times New Roman"/>
          <w:snapToGrid w:val="0"/>
          <w:sz w:val="24"/>
          <w:szCs w:val="24"/>
        </w:rPr>
        <w:t>, в 2020 году запланированы на уровне 12 315 тыс.руб., что на 2 118,4 тыс.руб. или на 15% меньше ожидаемого исполнения за 2019 год, которое оценено на уровне плана на текущий год (14 433,4 тыс.руб.). В 2021 году они вырастут до 12 757 тыс.руб., в 2022 году - до 13 254,2 тыс.руб. соответственно (рост к уровню 2020 года - на 3,6% и на 7,6% соответственно).</w:t>
      </w:r>
    </w:p>
    <w:p w:rsidR="001E4617" w:rsidRPr="00EF4B3A" w:rsidRDefault="001E4617" w:rsidP="00EF4B3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EF4B3A">
        <w:rPr>
          <w:rFonts w:ascii="Times New Roman" w:hAnsi="Times New Roman"/>
          <w:snapToGrid w:val="0"/>
          <w:sz w:val="24"/>
          <w:szCs w:val="24"/>
        </w:rPr>
        <w:t xml:space="preserve">По итогам оценки Контрольно-счетной палаты, ожидаемое исполнение указанных доходов за 2019 год может составить 14 180 тыс.руб. или 98% от установленного плана на текущий год, в основном, в связи с ростом долгов и непогашением задолженности прошлого года по арендным платежам ООО «Завод ЖБК-100», в отношении которого 03.08.2017 введена процедура наблюдения, а с </w:t>
      </w:r>
      <w:r w:rsidRPr="00EF4B3A">
        <w:rPr>
          <w:rFonts w:ascii="Times New Roman" w:hAnsi="Times New Roman"/>
          <w:sz w:val="24"/>
          <w:szCs w:val="24"/>
          <w:shd w:val="clear" w:color="auto" w:fill="FFFFFF"/>
        </w:rPr>
        <w:t>10.08.2018 - конкурсное производство (</w:t>
      </w:r>
      <w:r w:rsidRPr="00EF4B3A">
        <w:rPr>
          <w:rFonts w:ascii="Times New Roman" w:hAnsi="Times New Roman"/>
          <w:snapToGrid w:val="0"/>
          <w:sz w:val="24"/>
          <w:szCs w:val="24"/>
        </w:rPr>
        <w:t>сумма выпадающих доходов - 1 208 тыс.руб.), вместе с тем с поступлением дополнительных доходов в сумме 955 тыс.руб. по вновь заключенному договору с АО «Томскнефть» ВНК. Результаты оценки также свидетельствуют о возможности получения дополнительных, по сравнению с Законопроектом, доходов: в 2020 году - в сумме 1 029 тыс.руб. (с учетом договоров аренды, не учтенных при планировании, и увеличением в 4 квартале текущего года ставок арендной платы по ряду действующих договоров), в 2021 и 2022 годах - соответственно 462 тыс.руб. и 355 тыс.руб.</w:t>
      </w:r>
    </w:p>
    <w:p w:rsidR="001E4617" w:rsidRPr="00EF4B3A" w:rsidRDefault="001E4617" w:rsidP="00EF4B3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1E4617" w:rsidRPr="00EF4B3A" w:rsidRDefault="001E4617" w:rsidP="00EF4B3A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B3A">
        <w:rPr>
          <w:rFonts w:ascii="Times New Roman" w:hAnsi="Times New Roman"/>
          <w:snapToGrid w:val="0"/>
          <w:sz w:val="24"/>
          <w:szCs w:val="24"/>
        </w:rPr>
        <w:t xml:space="preserve">Ожидаемое исполнение за 2019 год </w:t>
      </w:r>
      <w:r w:rsidRPr="00EF4B3A">
        <w:rPr>
          <w:rFonts w:ascii="Times New Roman" w:hAnsi="Times New Roman"/>
          <w:sz w:val="24"/>
          <w:szCs w:val="24"/>
        </w:rPr>
        <w:t>по</w:t>
      </w:r>
      <w:r w:rsidRPr="00EF4B3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F4B3A">
        <w:rPr>
          <w:rFonts w:ascii="Times New Roman" w:hAnsi="Times New Roman"/>
          <w:b/>
          <w:sz w:val="24"/>
          <w:szCs w:val="24"/>
        </w:rPr>
        <w:t>доходам от перечисления части прибыли,</w:t>
      </w:r>
      <w:r w:rsidRPr="00EF4B3A">
        <w:rPr>
          <w:rFonts w:ascii="Times New Roman" w:hAnsi="Times New Roman"/>
          <w:sz w:val="24"/>
          <w:szCs w:val="24"/>
        </w:rPr>
        <w:t xml:space="preserve"> </w:t>
      </w:r>
      <w:r w:rsidRPr="00EF4B3A">
        <w:rPr>
          <w:rFonts w:ascii="Times New Roman" w:hAnsi="Times New Roman"/>
          <w:b/>
          <w:sz w:val="24"/>
          <w:szCs w:val="24"/>
        </w:rPr>
        <w:t>остающейся после уплаты налогов и иных обязательных платежей областных государственных унитарных предприятий</w:t>
      </w:r>
      <w:r w:rsidRPr="00EF4B3A">
        <w:rPr>
          <w:rFonts w:ascii="Times New Roman" w:hAnsi="Times New Roman"/>
          <w:sz w:val="24"/>
          <w:szCs w:val="24"/>
        </w:rPr>
        <w:t xml:space="preserve">, по Законопроекту - 16 852,5 тыс.руб. или в 2,4 раза больше установленного плана (6 890 тыс.руб.). </w:t>
      </w:r>
      <w:r w:rsidRPr="00EF4B3A">
        <w:rPr>
          <w:rFonts w:ascii="Times New Roman" w:hAnsi="Times New Roman"/>
          <w:color w:val="000000"/>
          <w:sz w:val="24"/>
          <w:szCs w:val="24"/>
        </w:rPr>
        <w:t xml:space="preserve">Прогноз </w:t>
      </w:r>
      <w:r w:rsidRPr="00EF4B3A">
        <w:rPr>
          <w:rFonts w:ascii="Times New Roman" w:hAnsi="Times New Roman"/>
          <w:sz w:val="24"/>
          <w:szCs w:val="24"/>
        </w:rPr>
        <w:t xml:space="preserve">доходов по данному источнику на </w:t>
      </w:r>
      <w:r w:rsidRPr="00EF4B3A">
        <w:rPr>
          <w:rFonts w:ascii="Times New Roman" w:hAnsi="Times New Roman"/>
          <w:sz w:val="24"/>
          <w:szCs w:val="24"/>
        </w:rPr>
        <w:lastRenderedPageBreak/>
        <w:t xml:space="preserve">2020-2022 годы сформирован по трем областным государственным унитарным предприятиям: ГУП ТО «Областное ДРСУ», ОГУП «Кожевниковское ДРСУ» и ОГУП «Областной аптечный склад». На 2020 год указанные доходы запланированы в сумме 14 107,7 тыс.руб. или 84% от ожидаемого исполнения за текущий год, в том числе (исходя из документов, предоставленных администратором доходов): </w:t>
      </w:r>
    </w:p>
    <w:p w:rsidR="001E4617" w:rsidRPr="00EF4B3A" w:rsidRDefault="001E4617" w:rsidP="00EF4B3A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B3A">
        <w:rPr>
          <w:rFonts w:ascii="Times New Roman" w:hAnsi="Times New Roman"/>
          <w:sz w:val="24"/>
          <w:szCs w:val="24"/>
        </w:rPr>
        <w:t>- 11 256,2 тыс.руб. - по ГУП ТО «Областное ДРСУ», что составляет лишь 78% к ожидаемому исполнению перечислений указанных доходов в областной бюджет в текущем году по данному предприятию (не в полной мере учтено возможное увеличение доходов предприятия по основным видам деятельности, связанным с выполнением работ в рамках национального проекта «Безопасные и качественные дороги»);</w:t>
      </w:r>
    </w:p>
    <w:p w:rsidR="001E4617" w:rsidRPr="00EF4B3A" w:rsidRDefault="001E4617" w:rsidP="00EF4B3A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B3A">
        <w:rPr>
          <w:rFonts w:ascii="Times New Roman" w:hAnsi="Times New Roman"/>
          <w:sz w:val="24"/>
          <w:szCs w:val="24"/>
        </w:rPr>
        <w:t>- 2 302 тыс.руб. - ОГУП «Кожевниковское ДРСУ» или 144% к ожидаемому исполнению плана перечислений текущего года по данному предприятию;</w:t>
      </w:r>
    </w:p>
    <w:p w:rsidR="001E4617" w:rsidRPr="00EF4B3A" w:rsidRDefault="001E4617" w:rsidP="00EF4B3A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B3A">
        <w:rPr>
          <w:rFonts w:ascii="Times New Roman" w:hAnsi="Times New Roman"/>
          <w:sz w:val="24"/>
          <w:szCs w:val="24"/>
        </w:rPr>
        <w:t xml:space="preserve">- 549,5 тыс.руб. - ОГУП «Областной аптечный склад», что составляет 74% к ожидаемому исполнению плана перечислений текущего года. </w:t>
      </w:r>
    </w:p>
    <w:p w:rsidR="001E4617" w:rsidRPr="00EF4B3A" w:rsidRDefault="001E4617" w:rsidP="00EF4B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B3A">
        <w:rPr>
          <w:rFonts w:ascii="Times New Roman" w:hAnsi="Times New Roman"/>
          <w:sz w:val="24"/>
          <w:szCs w:val="24"/>
        </w:rPr>
        <w:t>В 2021 году доходы от перечисления части прибыли, остающейся после уплаты налогов и иных обязательных платежей ОГУП, по Законопроекту составляют 15 192,2 тыс.руб., в 2022 году - 15 809 тыс.руб. (90% и 94% соответственно к ожидаемому исполнению в 2019 году). П</w:t>
      </w:r>
      <w:r w:rsidRPr="00EF4B3A">
        <w:rPr>
          <w:rFonts w:ascii="Times New Roman" w:hAnsi="Times New Roman"/>
          <w:color w:val="000000"/>
          <w:sz w:val="24"/>
          <w:szCs w:val="24"/>
        </w:rPr>
        <w:t xml:space="preserve">рогноз </w:t>
      </w:r>
      <w:r w:rsidRPr="00EF4B3A">
        <w:rPr>
          <w:rFonts w:ascii="Times New Roman" w:hAnsi="Times New Roman"/>
          <w:sz w:val="24"/>
          <w:szCs w:val="24"/>
        </w:rPr>
        <w:t>данного вида неналоговых доходов</w:t>
      </w:r>
      <w:r w:rsidRPr="00EF4B3A">
        <w:rPr>
          <w:rFonts w:ascii="Times New Roman" w:hAnsi="Times New Roman"/>
          <w:color w:val="000000"/>
          <w:sz w:val="24"/>
          <w:szCs w:val="24"/>
        </w:rPr>
        <w:t xml:space="preserve"> на 2020 - 2022 годы не учитывает перечислений </w:t>
      </w:r>
      <w:r w:rsidRPr="00EF4B3A">
        <w:rPr>
          <w:rFonts w:ascii="Times New Roman" w:hAnsi="Times New Roman"/>
          <w:sz w:val="24"/>
          <w:szCs w:val="24"/>
        </w:rPr>
        <w:t>части прибыли</w:t>
      </w:r>
      <w:r w:rsidRPr="00EF4B3A">
        <w:rPr>
          <w:rFonts w:ascii="Times New Roman" w:hAnsi="Times New Roman"/>
          <w:color w:val="000000"/>
          <w:sz w:val="24"/>
          <w:szCs w:val="24"/>
        </w:rPr>
        <w:t xml:space="preserve"> Областного государственного унитарного предприятия «Бакчарское», переданного из федеральной собственности в собственность Томской области по распоряжению Правительства РФ от 26.04.2019 № 853-р.</w:t>
      </w:r>
      <w:r w:rsidRPr="00EF4B3A">
        <w:rPr>
          <w:rFonts w:ascii="Times New Roman" w:hAnsi="Times New Roman"/>
          <w:sz w:val="24"/>
          <w:szCs w:val="24"/>
        </w:rPr>
        <w:t xml:space="preserve"> </w:t>
      </w:r>
    </w:p>
    <w:p w:rsidR="001E4617" w:rsidRPr="00EF4B3A" w:rsidRDefault="001E4617" w:rsidP="00EF4B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B3A">
        <w:rPr>
          <w:rFonts w:ascii="Times New Roman" w:hAnsi="Times New Roman"/>
          <w:sz w:val="24"/>
          <w:szCs w:val="24"/>
        </w:rPr>
        <w:t xml:space="preserve">По оценке Контрольно-счетной палаты, исходя из факта поступлений в областной бюджет за 9 месяцев текущего года в общей сумме 16 852,5 тыс.руб. (ГУП ТО «Областное ДРСУ» - 14 513 тыс.руб., ОГУП «Кожевниковское ДРСУ» - 1 599,8 тыс.руб., ОГУП «Областной аптечный склад» - 739,7 тыс.руб.) и планируемых поступлений в 4 квартале, ожидаемое исполнение по данному источнику в 2019 году может составить </w:t>
      </w:r>
      <w:r w:rsidRPr="00EF4B3A">
        <w:rPr>
          <w:rFonts w:ascii="Times New Roman" w:hAnsi="Times New Roman"/>
          <w:snapToGrid w:val="0"/>
          <w:sz w:val="24"/>
          <w:szCs w:val="24"/>
        </w:rPr>
        <w:t>20 319,7 тыс.руб. или 295% к установленному плану</w:t>
      </w:r>
      <w:r w:rsidRPr="00EF4B3A">
        <w:rPr>
          <w:rFonts w:ascii="Times New Roman" w:hAnsi="Times New Roman"/>
          <w:sz w:val="24"/>
          <w:szCs w:val="24"/>
        </w:rPr>
        <w:t xml:space="preserve">. </w:t>
      </w:r>
      <w:r w:rsidRPr="00EF4B3A">
        <w:rPr>
          <w:rFonts w:ascii="Times New Roman" w:hAnsi="Times New Roman"/>
          <w:color w:val="000000"/>
          <w:sz w:val="24"/>
          <w:szCs w:val="24"/>
        </w:rPr>
        <w:t>Д</w:t>
      </w:r>
      <w:r w:rsidRPr="00EF4B3A">
        <w:rPr>
          <w:rFonts w:ascii="Times New Roman" w:hAnsi="Times New Roman"/>
          <w:sz w:val="24"/>
          <w:szCs w:val="24"/>
        </w:rPr>
        <w:t xml:space="preserve">ополнительные доходы от перечисления части прибыли, остающейся после уплаты налогов и иных обязательных платежей областных унитарных предприятий, в 2020 - 2022 годах в сравнении с Законопроектом могут составить как минимум 525 тыс.руб. ежегодно (исходя из согласованной Департаментом по социально-экономическому развитию села Томской области программы финансово-хозяйственной деятельности ОГУП «Бакчарское», подведомственного указанному Департаменту). </w:t>
      </w:r>
    </w:p>
    <w:p w:rsidR="001E4617" w:rsidRPr="00EF4B3A" w:rsidRDefault="001E4617" w:rsidP="00EF4B3A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4617" w:rsidRPr="00EF4B3A" w:rsidRDefault="001E4617" w:rsidP="00EF4B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B3A">
        <w:rPr>
          <w:rFonts w:ascii="Times New Roman" w:hAnsi="Times New Roman"/>
          <w:b/>
          <w:sz w:val="24"/>
          <w:szCs w:val="24"/>
        </w:rPr>
        <w:t>Прочие поступления от использования имущества, находящегося в собственности субъектов РФ (за исключением имущества бюджетных и автономных учреждений субъектов РФ, имущества государственных унитарных предприятий субъектов РФ, в том числе казенных)</w:t>
      </w:r>
      <w:r w:rsidRPr="00EF4B3A">
        <w:rPr>
          <w:rFonts w:ascii="Times New Roman" w:hAnsi="Times New Roman"/>
          <w:sz w:val="24"/>
          <w:szCs w:val="24"/>
        </w:rPr>
        <w:t xml:space="preserve"> на 2020 год, а также на 2021 и 2022 годы предусмотрены в сумме 50 тыс.руб. ежегодно, что на 20 тыс.руб. меньше ожидаемого исполнения за 2019 год, которое оценено на уровне плана текущего года (70 тыс.руб.). </w:t>
      </w:r>
    </w:p>
    <w:p w:rsidR="001E4617" w:rsidRPr="00EF4B3A" w:rsidRDefault="001E4617" w:rsidP="00EF4B3A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B3A">
        <w:rPr>
          <w:rFonts w:ascii="Times New Roman" w:hAnsi="Times New Roman"/>
          <w:sz w:val="24"/>
          <w:szCs w:val="24"/>
        </w:rPr>
        <w:t xml:space="preserve">По оценке Контрольно-счетной палаты, ожидаемое исполнение в 2019 году указанных доходов может составить 43 тыс.руб. или 61% от установленного плана (в связи с </w:t>
      </w:r>
      <w:r w:rsidRPr="00EF4B3A">
        <w:rPr>
          <w:rFonts w:ascii="Times New Roman" w:hAnsi="Times New Roman"/>
          <w:snapToGrid w:val="0"/>
          <w:sz w:val="24"/>
          <w:szCs w:val="24"/>
        </w:rPr>
        <w:t>непогашением задолженности прошлого года и</w:t>
      </w:r>
      <w:r w:rsidRPr="00EF4B3A">
        <w:rPr>
          <w:rFonts w:ascii="Times New Roman" w:hAnsi="Times New Roman"/>
          <w:sz w:val="24"/>
          <w:szCs w:val="24"/>
        </w:rPr>
        <w:t xml:space="preserve"> ростом задолженности по текущим платежам за социальный наем жилых помещений). При активизации мер по снижению дебиторской задолженности по договорам социального найма жилых помещений возможно получение дополнительных доходов в 2020-2022 годах - ежегодно в сумме 75 тыс.руб. (на 25 тыс.руб. сверх объема, предусмотренного Законопроектом). </w:t>
      </w:r>
    </w:p>
    <w:p w:rsidR="001E4617" w:rsidRPr="00EF4B3A" w:rsidRDefault="001E4617" w:rsidP="00EF4B3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E4617" w:rsidRPr="00EF4B3A" w:rsidRDefault="001E4617" w:rsidP="00EF4B3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F4B3A">
        <w:rPr>
          <w:rFonts w:ascii="Times New Roman" w:hAnsi="Times New Roman"/>
          <w:b/>
          <w:sz w:val="24"/>
          <w:szCs w:val="24"/>
        </w:rPr>
        <w:t>Доходы от продажи материальных и нематериальных активов</w:t>
      </w:r>
    </w:p>
    <w:p w:rsidR="001E4617" w:rsidRPr="00EF4B3A" w:rsidRDefault="001E4617" w:rsidP="00EF4B3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B3A">
        <w:rPr>
          <w:rFonts w:ascii="Times New Roman" w:hAnsi="Times New Roman"/>
          <w:sz w:val="24"/>
          <w:szCs w:val="24"/>
        </w:rPr>
        <w:t xml:space="preserve">Оценка ожидаемого исполнения за 2019 год по доходам от продажи материальных и нематериальных активов в Законопроекте - на уровне установленного плана 151 119,5 тыс.руб. При этом, согласно Прогнозному плану (программе) приватизации государственного имущества Томской области на 2019 год и на плановый период 2020 и 2021 годов, утвержденному постановлением Законодательной Думы Томской области от 25.12.2018 № 1441 </w:t>
      </w:r>
      <w:r w:rsidRPr="00EF4B3A">
        <w:rPr>
          <w:rFonts w:ascii="Times New Roman" w:hAnsi="Times New Roman"/>
          <w:sz w:val="24"/>
          <w:szCs w:val="24"/>
        </w:rPr>
        <w:lastRenderedPageBreak/>
        <w:t xml:space="preserve">(в редакции от 29.08.2019), доходы от приватизации госимущества в 2019 году составят 167 393 тыс.руб. по 35 объектам приватизации, кроме того, предусмотрено еще 8,5 тыс.руб. - от продажи земельных участков собственникам объектов недвижимости, расположенных на них. </w:t>
      </w:r>
    </w:p>
    <w:p w:rsidR="001E4617" w:rsidRPr="00EF4B3A" w:rsidRDefault="001E4617" w:rsidP="00EF4B3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B3A">
        <w:rPr>
          <w:rFonts w:ascii="Times New Roman" w:hAnsi="Times New Roman"/>
          <w:sz w:val="24"/>
          <w:szCs w:val="24"/>
        </w:rPr>
        <w:t>Фактически на текущий момент реализован только один объект приватизации - имущественный комплекс по адресу: г. Томск, ул. Мичурина, 110, в областной бюджет поступили доходы от его продажи в сумме 16 747,6 тыс.руб. (7 080,3 тыс.руб. - за объекты недвижимости, 9 667,3 тыс.руб. - за земельные участки под объектами недвижимости). Кроме того, в областной бюджет поступило 93,3 тыс.руб. - от продажи 3 земельных участков собственникам расположенных на них объектов недвижимости, итого 16 840,9 тыс.руб. По 28 объектам приватизации, включенным в Прогнозный план, назначенные в текущем году аукционы, признаны несостоявшимися в связи с отсутствием заявок (допущенных заявок), по 5 объектам приватизации приватизационные процедуры только начаты (имущественные комплексы в д. Тызырачево и в с. Каргасок, два нежилых здания и сооружение с занимаемыми ими земельными участками в г. Томске) -</w:t>
      </w:r>
      <w:r w:rsidRPr="00EF4B3A">
        <w:rPr>
          <w:rFonts w:ascii="Times New Roman" w:hAnsi="Times New Roman"/>
          <w:sz w:val="24"/>
          <w:szCs w:val="24"/>
          <w:lang w:eastAsia="ru-RU"/>
        </w:rPr>
        <w:t xml:space="preserve"> проводится оценка их рыночной стоимости, идет подготовка к проведению торгов. Еще по одному имущественному комплексу (г. Томск, Мичурина, 107) приватизационные процедуры приостановлены до окончательного решения вопроса о сохранении его в собственности Томской области в целях использования для размещения областных объектов здравоохранения. </w:t>
      </w:r>
    </w:p>
    <w:p w:rsidR="001E4617" w:rsidRPr="00EF4B3A" w:rsidRDefault="001E4617" w:rsidP="00EF4B3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B3A">
        <w:rPr>
          <w:rFonts w:ascii="Times New Roman" w:hAnsi="Times New Roman"/>
          <w:sz w:val="24"/>
          <w:szCs w:val="24"/>
        </w:rPr>
        <w:t>По оценке Контрольно-счетной палаты, ожидаемое исполнение доходов от продажи материальных и нематериальных активов в 2019 году может составить лишь 17 911 тыс.руб. (с учетом продажи в 4 квартале еще двух объектов приватизации - помещений, расположенных в г. Томске по ул. Дзержинского, 49) или 12% от ожидаемого исполнения по материалам к законопроекту. Одной из причин неисполнения Прогнозного плана является затягивание приватизационных процедур в отношении ряда объектов приватизации, кроме того, уполномоченный областной орган в сфере приватизации не использует возможность дополнительного информационного обеспечения для размещения информации о приватизации госимущества в целях расширения доступа к ней неограниченного круга лиц (информация о проведении торгов по объектам Прогнозного плана размещается в сети «Интернет» только на официальном сайте, определенном Правительством РФ, и на сайте Департамента по управлению государственной собственностью).</w:t>
      </w:r>
    </w:p>
    <w:p w:rsidR="001E4617" w:rsidRDefault="001E4617" w:rsidP="00EF4B3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B3A">
        <w:rPr>
          <w:rFonts w:ascii="Times New Roman" w:hAnsi="Times New Roman"/>
          <w:sz w:val="24"/>
          <w:szCs w:val="24"/>
        </w:rPr>
        <w:t>На 2020 год запланированы доходы от продажи материальных и нематериальных активов в сумме 9 362,7 тыс.руб., в том числе: 9 354,2 тыс.руб. - от реализации 4 объектов приватизации, включенных в проект Прогнозного плана (программы) приватизации госимущества Томской области на 2020 год (планируемые доходы определены, в основном, исходя из остаточной стоимости объектов) и 8,5 тыс.руб. - от продажи земельных участков собственникам объектов недвижимости, расположенных на них. На 2021 и 2022 годы Законопроектом предусмотрены доходы в сумме 8,5 тыс.руб. ежегодно - только от продажи земельных участков собственникам объектов недвижимости, расположенных на них (обоснований в составе материалов к Законопроекту нет). Исходя из расчетов, дополнительно представленных администратором доходов по 5 земельным участкам, прогнозируемые им на 2020 год доходы от продажи земельных участков собственникам объектов недвижимости, расположенных на них - 7,1 тыс.руб. При этом имеются сведения из Реестра государственного имущества Томской области об иных земельных участках, находящихся в Казне Томской области, планируемых к предоставлению собственникам расположенных на них объектов недвижимости (к примеру, земельный участок в Молчановском районе, с. Могочино, ул. Кирова, 6-1, др.). Следует также обратить внимание, что фактический среднегодовой размер доходов от продажи этой категории земельных участков в 2016-2018 г.г. составил 21,5 тыс.руб., за 9 месяцев текущего года от их продажи, как указано выше, уже поступило 93,3 тыс.руб.</w:t>
      </w:r>
    </w:p>
    <w:p w:rsidR="001E4617" w:rsidRDefault="001E4617" w:rsidP="00EF4B3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4617" w:rsidRPr="00EF4B3A" w:rsidRDefault="001E4617" w:rsidP="00EF4B3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3878">
        <w:rPr>
          <w:rFonts w:ascii="Times New Roman" w:hAnsi="Times New Roman"/>
          <w:b/>
          <w:color w:val="000000"/>
          <w:sz w:val="24"/>
          <w:szCs w:val="24"/>
          <w:lang w:eastAsia="ru-RU"/>
        </w:rPr>
        <w:t>5.7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02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Контрольно-счетной палатой изучена новая редакция </w:t>
      </w:r>
      <w:r w:rsidRPr="00EF4B3A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</w:t>
      </w:r>
      <w:r w:rsidRPr="0067026F"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Pr="00EF4B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</w:t>
      </w:r>
      <w:r w:rsidRPr="0067026F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EF4B3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«Эффективное управление государственным имуществом Томской области»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Pr="0067026F">
        <w:rPr>
          <w:rFonts w:ascii="Times New Roman" w:hAnsi="Times New Roman"/>
          <w:color w:val="000000"/>
          <w:sz w:val="24"/>
          <w:szCs w:val="24"/>
          <w:lang w:eastAsia="ru-RU"/>
        </w:rPr>
        <w:t>обращаем внимание на следующее.</w:t>
      </w:r>
      <w:r w:rsidRPr="00EF4B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E4617" w:rsidRPr="00EF4B3A" w:rsidRDefault="001E4617" w:rsidP="00EF4B3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4B3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Целью госпрограммы «Эффективное управление государственным имуществом Томской области» (далее – ГП-20) является повышение эффективности управления государственным имуществом Томской области. Срок реализации госпрограммы: 2020 - 2024 годы с прогнозом на 2025 и 2026 годы (прогнозный период, следующий за годом окончания срока исполнения госпрограммы). Ответственным исполнителем ГП-20 является Департамент по управлению государственной собственностью Томской области. Общий о</w:t>
      </w:r>
      <w:r w:rsidRPr="00EF4B3A">
        <w:rPr>
          <w:rFonts w:ascii="Times New Roman" w:hAnsi="Times New Roman"/>
          <w:sz w:val="24"/>
          <w:szCs w:val="24"/>
        </w:rPr>
        <w:t xml:space="preserve">бъем финансирования ГП-20 </w:t>
      </w:r>
      <w:r w:rsidRPr="00EF4B3A">
        <w:rPr>
          <w:rFonts w:ascii="Times New Roman" w:hAnsi="Times New Roman"/>
          <w:color w:val="000000"/>
          <w:sz w:val="24"/>
          <w:szCs w:val="24"/>
        </w:rPr>
        <w:t xml:space="preserve">с учетом прогнозного периода, согласно паспорту госпрограммы, составляет       662 365,6 тыс.руб., из них: на 2020 год - 101 480,8 тыс.руб., на 2021 и последующие годы - 93 480,8 тыс.руб. ежегодно или на 8 000 тыс.руб. меньше чем в 2020 году (так как финансирование основного мероприятия </w:t>
      </w:r>
      <w:r w:rsidRPr="00EF4B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«Проведение комплексных кадастровых работ на территории Томской области» </w:t>
      </w:r>
      <w:r w:rsidRPr="00EF4B3A">
        <w:rPr>
          <w:rFonts w:ascii="Times New Roman" w:hAnsi="Times New Roman"/>
          <w:color w:val="000000"/>
          <w:sz w:val="24"/>
          <w:szCs w:val="24"/>
        </w:rPr>
        <w:t>предусмотрено только в 2020 году в сумме 8 000 тыс.руб.).</w:t>
      </w:r>
    </w:p>
    <w:p w:rsidR="001E4617" w:rsidRPr="00EF4B3A" w:rsidRDefault="001E4617" w:rsidP="00EF4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B3A">
        <w:rPr>
          <w:rFonts w:ascii="Times New Roman" w:hAnsi="Times New Roman"/>
          <w:sz w:val="24"/>
          <w:szCs w:val="24"/>
        </w:rPr>
        <w:t xml:space="preserve">В рамках реализации подпрограммы «Управление государственным имуществом Томской области», целью которой является повышение эффективности управления и распоряжения государственным имуществом Томской области, решается четыре задачи: «Рациональное использование государственного имущества Томской области», «Приватизация областного государственного имущества», «Совершенствование системы учета и контроля государственного имущества Томской области» (по трем соответствующим ведомственным целевым программам), а также «Актуализация сведений Единого государственного реестра недвижимости с целью вовлечения в хозяйственный оборот объектов недвижимости» (по основному мероприятию «Проведение комплексных кадастровых работ на территории Томской области»). </w:t>
      </w:r>
    </w:p>
    <w:p w:rsidR="001E4617" w:rsidRPr="00EF4B3A" w:rsidRDefault="001E4617" w:rsidP="00EF4B3A">
      <w:pPr>
        <w:spacing w:after="1" w:line="22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4B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мнению Контрольно-счетной палаты, не ясно, каким образом реализация данной госпрограммы позволит обеспечить, как указано в паспорте ГП-20, необходимые условия для эффективного управления и распоряжения госимуществом Томской области, а также оптимизацию его состава и структуры, если большая часть предусмотренных показателей не характеризует измеримый прогресс в достижении цели госпрограммы (подпрограммы) и задач подпрограммы при осуществлении управления и распоряжения госимуществом Томской области. </w:t>
      </w:r>
    </w:p>
    <w:p w:rsidR="001E4617" w:rsidRPr="00EF4B3A" w:rsidRDefault="001E4617" w:rsidP="00EF4B3A">
      <w:pPr>
        <w:spacing w:after="1" w:line="22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4B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Так, показатель цели госпрограммы - доля областного государственного недвижимого имущества (за исключением земельных участков), используемого для выполнения полномочий Томской области, от недвижимого имущества, находящегося в собственности Томской области, установлен  на 2020 год, как и на 6 последующих лет, включая прогнозный период, на уровне оценки 2019 года - 90% (факт 2018 года - 90,2%). Показатель цели подпрограммы - процент сокращения количества объектов имущества (за исключением земельных участков), находящихся в Казне Томской области, на 2020 год установлен (как и на 6 последующих лет) на уровне 5% или в 2 раза меньше ожидаемого уровня по оценке исполнения данного показателя за 2019 год (10%), при этом факт 2018 года - 20,2%.  </w:t>
      </w:r>
    </w:p>
    <w:p w:rsidR="001E4617" w:rsidRPr="00EF4B3A" w:rsidRDefault="001E4617" w:rsidP="00EF4B3A">
      <w:pPr>
        <w:spacing w:after="1" w:line="22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F4B3A">
        <w:rPr>
          <w:rFonts w:ascii="Times New Roman" w:hAnsi="Times New Roman"/>
          <w:color w:val="000000"/>
          <w:sz w:val="24"/>
          <w:szCs w:val="24"/>
          <w:lang w:eastAsia="ru-RU"/>
        </w:rPr>
        <w:t>На уровне оценки 2019 года предусмотрены также и значения показателей задач подпрограммы: задачи 1 - доля являющихся собственностью Томской области земельных участков, права землепользователей на которые оформлены и права на которые невозможно оформить в силу закона, от общего объема земельных участков, сведения о которых содержатся в Реестре государственного имущества Томской области, на последнюю календарную дату отчетного года (90% - на 2020 год, как и на 6 последующих лет</w:t>
      </w:r>
      <w:r w:rsidRPr="00EF4B3A">
        <w:rPr>
          <w:rFonts w:ascii="Times New Roman" w:hAnsi="Times New Roman"/>
          <w:color w:val="000000"/>
          <w:sz w:val="24"/>
          <w:szCs w:val="24"/>
        </w:rPr>
        <w:t xml:space="preserve">), задачи 2 - доля имущества Томской области, реализованного в порядке приватизации, от общего объема имущества, составляющего Казну Томской области, по состоянию на последнюю календарную дату года, предшествующего году осуществления приватизации (1% </w:t>
      </w:r>
      <w:r w:rsidRPr="00EF4B3A">
        <w:rPr>
          <w:rFonts w:ascii="Times New Roman" w:hAnsi="Times New Roman"/>
          <w:color w:val="000000"/>
          <w:sz w:val="24"/>
          <w:szCs w:val="24"/>
          <w:lang w:eastAsia="ru-RU"/>
        </w:rPr>
        <w:t>- на 2020 год, также и на 6 последующих лет</w:t>
      </w:r>
      <w:r w:rsidRPr="00EF4B3A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1E4617" w:rsidRPr="00EF4B3A" w:rsidRDefault="001E4617" w:rsidP="00EF4B3A">
      <w:pPr>
        <w:spacing w:after="1" w:line="22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F4B3A">
        <w:rPr>
          <w:rFonts w:ascii="Times New Roman" w:hAnsi="Times New Roman"/>
          <w:color w:val="000000"/>
          <w:sz w:val="24"/>
          <w:szCs w:val="24"/>
        </w:rPr>
        <w:t xml:space="preserve">Значения показателей задачи 3 подпрограммы предусмотрены даже ниже уровня факта 2018 года: доля объектов недвижимого имущества, сведения о которых содержатся в Реестре, </w:t>
      </w:r>
      <w:r w:rsidRPr="00EF4B3A">
        <w:rPr>
          <w:rFonts w:ascii="Times New Roman" w:hAnsi="Times New Roman"/>
          <w:i/>
          <w:color w:val="000000"/>
          <w:sz w:val="24"/>
          <w:szCs w:val="24"/>
        </w:rPr>
        <w:t>закрепленных на праве оперуправления</w:t>
      </w:r>
      <w:r w:rsidRPr="00EF4B3A">
        <w:rPr>
          <w:rFonts w:ascii="Times New Roman" w:hAnsi="Times New Roman"/>
          <w:color w:val="000000"/>
          <w:sz w:val="24"/>
          <w:szCs w:val="24"/>
        </w:rPr>
        <w:t>, в отношении которых проведены проверки эффективности использования и сохранности госимущества Томской области, от общего количества таких объектов на начало года, в котором проведены такие проверки (6,6%</w:t>
      </w:r>
      <w:r w:rsidRPr="00EF4B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на 2020 год и на 6 последующих лет</w:t>
      </w:r>
      <w:r w:rsidRPr="00EF4B3A">
        <w:rPr>
          <w:rFonts w:ascii="Times New Roman" w:hAnsi="Times New Roman"/>
          <w:color w:val="000000"/>
          <w:sz w:val="24"/>
          <w:szCs w:val="24"/>
        </w:rPr>
        <w:t xml:space="preserve">, при этом факт за 2018 год - 6,88%); доля объектов недвижимого </w:t>
      </w:r>
      <w:r w:rsidRPr="00EF4B3A">
        <w:rPr>
          <w:rFonts w:ascii="Times New Roman" w:hAnsi="Times New Roman"/>
          <w:color w:val="000000"/>
          <w:sz w:val="24"/>
          <w:szCs w:val="24"/>
        </w:rPr>
        <w:lastRenderedPageBreak/>
        <w:t xml:space="preserve">имущества, сведения о которых содержатся в Реестре, </w:t>
      </w:r>
      <w:r w:rsidRPr="00EF4B3A">
        <w:rPr>
          <w:rFonts w:ascii="Times New Roman" w:hAnsi="Times New Roman"/>
          <w:i/>
          <w:color w:val="000000"/>
          <w:sz w:val="24"/>
          <w:szCs w:val="24"/>
        </w:rPr>
        <w:t>находящихся в Казне Томской области</w:t>
      </w:r>
      <w:r w:rsidRPr="00EF4B3A">
        <w:rPr>
          <w:rFonts w:ascii="Times New Roman" w:hAnsi="Times New Roman"/>
          <w:color w:val="000000"/>
          <w:sz w:val="24"/>
          <w:szCs w:val="24"/>
        </w:rPr>
        <w:t xml:space="preserve"> (за исключением земельных участков), в отношении которых проведены проверки эффективности использования и сохранности госимущества Томской области, от общего количества таких объектов на начало года, в котором проведены такие проверки (10,7%</w:t>
      </w:r>
      <w:r w:rsidRPr="00EF4B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на 2020 год и на 6 последующих лет</w:t>
      </w:r>
      <w:r w:rsidRPr="00EF4B3A">
        <w:rPr>
          <w:rFonts w:ascii="Times New Roman" w:hAnsi="Times New Roman"/>
          <w:color w:val="000000"/>
          <w:sz w:val="24"/>
          <w:szCs w:val="24"/>
        </w:rPr>
        <w:t xml:space="preserve">, при этом факт за 2018 год - 10,91%). </w:t>
      </w:r>
    </w:p>
    <w:p w:rsidR="001E4617" w:rsidRPr="00EF4B3A" w:rsidRDefault="001E4617" w:rsidP="00EF4B3A">
      <w:pPr>
        <w:spacing w:after="1" w:line="22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4B3A">
        <w:rPr>
          <w:rFonts w:ascii="Times New Roman" w:hAnsi="Times New Roman"/>
          <w:color w:val="000000"/>
          <w:sz w:val="24"/>
          <w:szCs w:val="24"/>
        </w:rPr>
        <w:t xml:space="preserve">В отношении задачи 4 </w:t>
      </w:r>
      <w:r w:rsidRPr="00EF4B3A">
        <w:rPr>
          <w:rFonts w:ascii="Times New Roman" w:hAnsi="Times New Roman"/>
          <w:color w:val="000000"/>
          <w:sz w:val="24"/>
          <w:szCs w:val="24"/>
          <w:lang w:eastAsia="ru-RU"/>
        </w:rPr>
        <w:t>«Актуализация сведений Единого государственного реестра недвижимости с целью вовлечения в хозяйственный оборот объектов недвижимости»</w:t>
      </w:r>
      <w:r w:rsidRPr="00EF4B3A">
        <w:rPr>
          <w:rFonts w:ascii="Times New Roman" w:hAnsi="Times New Roman"/>
          <w:color w:val="000000"/>
          <w:sz w:val="24"/>
          <w:szCs w:val="24"/>
        </w:rPr>
        <w:t>, полагаем, что установлен вообще некорректный показатель - «Количество муниципальных образований Томской области, получивших господдержку на проведение комплексных кадастровых работ» (2 ед.), который по существу не является индикатором выполнения указанной задачи по а</w:t>
      </w:r>
      <w:r w:rsidRPr="00EF4B3A">
        <w:rPr>
          <w:rFonts w:ascii="Times New Roman" w:hAnsi="Times New Roman"/>
          <w:color w:val="000000"/>
          <w:sz w:val="24"/>
          <w:szCs w:val="24"/>
          <w:lang w:eastAsia="ru-RU"/>
        </w:rPr>
        <w:t>ктуализации сведений Единого государственного реестра недвижимости.</w:t>
      </w:r>
    </w:p>
    <w:p w:rsidR="001E4617" w:rsidRPr="00EF4B3A" w:rsidRDefault="001E4617" w:rsidP="00EF4B3A">
      <w:pPr>
        <w:spacing w:after="1" w:line="22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4B3A">
        <w:rPr>
          <w:rFonts w:ascii="Times New Roman" w:hAnsi="Times New Roman"/>
          <w:color w:val="000000"/>
          <w:sz w:val="24"/>
          <w:szCs w:val="24"/>
          <w:lang w:eastAsia="ru-RU"/>
        </w:rPr>
        <w:t>Отсутствие положительной динамики прогнозируемых значений показателей целей ГП-20, ее подпрограммы «Управление государственным имуществом Томской области» и вышеуказанных задач</w:t>
      </w:r>
      <w:r w:rsidRPr="00EF4B3A">
        <w:rPr>
          <w:rFonts w:ascii="Times New Roman" w:hAnsi="Times New Roman"/>
          <w:color w:val="000000"/>
          <w:sz w:val="24"/>
          <w:szCs w:val="24"/>
        </w:rPr>
        <w:t xml:space="preserve"> подпрограммы </w:t>
      </w:r>
      <w:r w:rsidRPr="00EF4B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 ряде случаев даже снижение их значений на 2020 и последующие годы  по сравнению с достигнутым фактом) свидетельствует о непланировании принятия всех необходимых и достаточных мер ответственным исполнителем госпрограммы для достижения цели госпрограммы - повышение эффективности управления госимуществом Томской области.</w:t>
      </w:r>
    </w:p>
    <w:p w:rsidR="001E4617" w:rsidRPr="00EF4B3A" w:rsidRDefault="001E4617" w:rsidP="00EF4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4617" w:rsidRDefault="001E4617" w:rsidP="00EA3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3B98">
        <w:rPr>
          <w:rFonts w:ascii="Times New Roman" w:hAnsi="Times New Roman"/>
          <w:b/>
          <w:sz w:val="24"/>
          <w:szCs w:val="24"/>
          <w:lang w:eastAsia="ru-RU"/>
        </w:rPr>
        <w:t xml:space="preserve">5.8. </w:t>
      </w:r>
      <w:r w:rsidRPr="00EA3B98">
        <w:rPr>
          <w:rFonts w:ascii="Times New Roman" w:hAnsi="Times New Roman"/>
          <w:b/>
          <w:sz w:val="24"/>
          <w:szCs w:val="24"/>
        </w:rPr>
        <w:t>Доходы от оказания платных услуг (работ) и компенсации затрат государства</w:t>
      </w:r>
    </w:p>
    <w:p w:rsidR="001E4617" w:rsidRPr="00EA3B98" w:rsidRDefault="001E4617" w:rsidP="00EA3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4617" w:rsidRPr="009F4A48" w:rsidRDefault="001E4617" w:rsidP="009F4A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4A48">
        <w:rPr>
          <w:rFonts w:ascii="Times New Roman" w:hAnsi="Times New Roman"/>
          <w:sz w:val="24"/>
          <w:szCs w:val="24"/>
        </w:rPr>
        <w:t>Ожидаемое исполнение областного бюджета по доходам от оказания платных услуг (работ) и компенсации затрат государства</w:t>
      </w:r>
      <w:r>
        <w:rPr>
          <w:rFonts w:ascii="Times New Roman" w:hAnsi="Times New Roman"/>
          <w:sz w:val="24"/>
          <w:szCs w:val="24"/>
        </w:rPr>
        <w:t xml:space="preserve"> в 2019</w:t>
      </w:r>
      <w:r w:rsidRPr="009F4A48">
        <w:rPr>
          <w:rFonts w:ascii="Times New Roman" w:hAnsi="Times New Roman"/>
          <w:sz w:val="24"/>
          <w:szCs w:val="24"/>
        </w:rPr>
        <w:t xml:space="preserve"> году по оценке Администрации может составить </w:t>
      </w:r>
      <w:r>
        <w:rPr>
          <w:rFonts w:ascii="Times New Roman" w:hAnsi="Times New Roman"/>
          <w:sz w:val="24"/>
          <w:szCs w:val="24"/>
        </w:rPr>
        <w:t>81 663,0</w:t>
      </w:r>
      <w:r w:rsidRPr="009F4A48">
        <w:rPr>
          <w:rFonts w:ascii="Times New Roman" w:hAnsi="Times New Roman"/>
          <w:sz w:val="24"/>
          <w:szCs w:val="24"/>
        </w:rPr>
        <w:t xml:space="preserve"> тыс.руб., темп роста к уровню  201</w:t>
      </w:r>
      <w:r>
        <w:rPr>
          <w:rFonts w:ascii="Times New Roman" w:hAnsi="Times New Roman"/>
          <w:sz w:val="24"/>
          <w:szCs w:val="24"/>
        </w:rPr>
        <w:t>8</w:t>
      </w:r>
      <w:r w:rsidRPr="009F4A48">
        <w:rPr>
          <w:rFonts w:ascii="Times New Roman" w:hAnsi="Times New Roman"/>
          <w:sz w:val="24"/>
          <w:szCs w:val="24"/>
        </w:rPr>
        <w:t xml:space="preserve"> года – </w:t>
      </w:r>
      <w:r>
        <w:rPr>
          <w:rFonts w:ascii="Times New Roman" w:hAnsi="Times New Roman"/>
          <w:sz w:val="24"/>
          <w:szCs w:val="24"/>
        </w:rPr>
        <w:t>86,5</w:t>
      </w:r>
      <w:r w:rsidRPr="009F4A48">
        <w:rPr>
          <w:rFonts w:ascii="Times New Roman" w:hAnsi="Times New Roman"/>
          <w:sz w:val="24"/>
          <w:szCs w:val="24"/>
        </w:rPr>
        <w:t xml:space="preserve"> %. </w:t>
      </w:r>
    </w:p>
    <w:p w:rsidR="001E4617" w:rsidRPr="009F4A48" w:rsidRDefault="001E4617" w:rsidP="009F4A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4A48">
        <w:rPr>
          <w:rFonts w:ascii="Times New Roman" w:hAnsi="Times New Roman"/>
          <w:sz w:val="24"/>
          <w:szCs w:val="24"/>
        </w:rPr>
        <w:t xml:space="preserve">Поступление по </w:t>
      </w:r>
      <w:r>
        <w:rPr>
          <w:rFonts w:ascii="Times New Roman" w:hAnsi="Times New Roman"/>
          <w:sz w:val="24"/>
          <w:szCs w:val="24"/>
        </w:rPr>
        <w:t xml:space="preserve">данному источнику </w:t>
      </w:r>
      <w:r w:rsidRPr="009F4A48">
        <w:rPr>
          <w:rFonts w:ascii="Times New Roman" w:hAnsi="Times New Roman"/>
          <w:sz w:val="24"/>
          <w:szCs w:val="24"/>
        </w:rPr>
        <w:t>в материалах и документах к законопроекту прогнозируется в следующих объемах:</w:t>
      </w:r>
    </w:p>
    <w:p w:rsidR="001E4617" w:rsidRPr="009F4A48" w:rsidRDefault="001E4617" w:rsidP="009F4A4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79 329,2 тыс.руб</w:t>
      </w:r>
      <w:r w:rsidRPr="009F4A48">
        <w:rPr>
          <w:rFonts w:ascii="Times New Roman" w:hAnsi="Times New Roman"/>
          <w:sz w:val="24"/>
          <w:szCs w:val="24"/>
        </w:rPr>
        <w:t>. в 20</w:t>
      </w:r>
      <w:r>
        <w:rPr>
          <w:rFonts w:ascii="Times New Roman" w:hAnsi="Times New Roman"/>
          <w:sz w:val="24"/>
          <w:szCs w:val="24"/>
        </w:rPr>
        <w:t>20</w:t>
      </w:r>
      <w:r w:rsidRPr="009F4A48">
        <w:rPr>
          <w:rFonts w:ascii="Times New Roman" w:hAnsi="Times New Roman"/>
          <w:sz w:val="24"/>
          <w:szCs w:val="24"/>
        </w:rPr>
        <w:t xml:space="preserve"> году, с темпом роста </w:t>
      </w:r>
      <w:r>
        <w:rPr>
          <w:rFonts w:ascii="Times New Roman" w:hAnsi="Times New Roman"/>
          <w:sz w:val="24"/>
          <w:szCs w:val="24"/>
        </w:rPr>
        <w:t>97,1</w:t>
      </w:r>
      <w:r w:rsidRPr="009F4A48">
        <w:rPr>
          <w:rFonts w:ascii="Times New Roman" w:hAnsi="Times New Roman"/>
          <w:sz w:val="24"/>
          <w:szCs w:val="24"/>
        </w:rPr>
        <w:t xml:space="preserve"> %;</w:t>
      </w:r>
    </w:p>
    <w:p w:rsidR="001E4617" w:rsidRPr="009F4A48" w:rsidRDefault="001E4617" w:rsidP="009F4A4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80 953,2 тыс</w:t>
      </w:r>
      <w:r w:rsidRPr="009F4A48">
        <w:rPr>
          <w:rFonts w:ascii="Times New Roman" w:hAnsi="Times New Roman"/>
          <w:sz w:val="24"/>
          <w:szCs w:val="24"/>
        </w:rPr>
        <w:t>.руб. в 202</w:t>
      </w:r>
      <w:r>
        <w:rPr>
          <w:rFonts w:ascii="Times New Roman" w:hAnsi="Times New Roman"/>
          <w:sz w:val="24"/>
          <w:szCs w:val="24"/>
        </w:rPr>
        <w:t>1</w:t>
      </w:r>
      <w:r w:rsidRPr="009F4A48">
        <w:rPr>
          <w:rFonts w:ascii="Times New Roman" w:hAnsi="Times New Roman"/>
          <w:sz w:val="24"/>
          <w:szCs w:val="24"/>
        </w:rPr>
        <w:t xml:space="preserve"> году, с темпом роста 10</w:t>
      </w:r>
      <w:r>
        <w:rPr>
          <w:rFonts w:ascii="Times New Roman" w:hAnsi="Times New Roman"/>
          <w:sz w:val="24"/>
          <w:szCs w:val="24"/>
        </w:rPr>
        <w:t>2,0</w:t>
      </w:r>
      <w:r w:rsidRPr="009F4A48">
        <w:rPr>
          <w:rFonts w:ascii="Times New Roman" w:hAnsi="Times New Roman"/>
          <w:sz w:val="24"/>
          <w:szCs w:val="24"/>
        </w:rPr>
        <w:t xml:space="preserve"> %;</w:t>
      </w:r>
    </w:p>
    <w:p w:rsidR="001E4617" w:rsidRPr="009F4A48" w:rsidRDefault="001E4617" w:rsidP="009F4A4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84 849,4 тыс</w:t>
      </w:r>
      <w:r w:rsidRPr="009F4A48">
        <w:rPr>
          <w:rFonts w:ascii="Times New Roman" w:hAnsi="Times New Roman"/>
          <w:sz w:val="24"/>
          <w:szCs w:val="24"/>
        </w:rPr>
        <w:t>.руб. в</w:t>
      </w:r>
      <w:r>
        <w:rPr>
          <w:rFonts w:ascii="Times New Roman" w:hAnsi="Times New Roman"/>
          <w:sz w:val="24"/>
          <w:szCs w:val="24"/>
        </w:rPr>
        <w:t xml:space="preserve"> 2022</w:t>
      </w:r>
      <w:r w:rsidRPr="009F4A48">
        <w:rPr>
          <w:rFonts w:ascii="Times New Roman" w:hAnsi="Times New Roman"/>
          <w:sz w:val="24"/>
          <w:szCs w:val="24"/>
        </w:rPr>
        <w:t xml:space="preserve"> году, с темпом роста 10</w:t>
      </w:r>
      <w:r>
        <w:rPr>
          <w:rFonts w:ascii="Times New Roman" w:hAnsi="Times New Roman"/>
          <w:sz w:val="24"/>
          <w:szCs w:val="24"/>
        </w:rPr>
        <w:t>4,8</w:t>
      </w:r>
      <w:r w:rsidRPr="009F4A48">
        <w:rPr>
          <w:rFonts w:ascii="Times New Roman" w:hAnsi="Times New Roman"/>
          <w:sz w:val="24"/>
          <w:szCs w:val="24"/>
        </w:rPr>
        <w:t xml:space="preserve"> %.</w:t>
      </w:r>
    </w:p>
    <w:p w:rsidR="001E4617" w:rsidRPr="009F4A48" w:rsidRDefault="001E4617" w:rsidP="006530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4A48">
        <w:rPr>
          <w:rFonts w:ascii="Times New Roman" w:hAnsi="Times New Roman"/>
          <w:sz w:val="24"/>
          <w:szCs w:val="24"/>
        </w:rPr>
        <w:t>По оценке палаты объем поступл</w:t>
      </w:r>
      <w:r>
        <w:rPr>
          <w:rFonts w:ascii="Times New Roman" w:hAnsi="Times New Roman"/>
          <w:sz w:val="24"/>
          <w:szCs w:val="24"/>
        </w:rPr>
        <w:t>ений по данному источнику в 2019 году может составить 94,3</w:t>
      </w:r>
      <w:r w:rsidRPr="009F4A48">
        <w:rPr>
          <w:rFonts w:ascii="Times New Roman" w:hAnsi="Times New Roman"/>
          <w:sz w:val="24"/>
          <w:szCs w:val="24"/>
        </w:rPr>
        <w:t xml:space="preserve"> млн.руб.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A48">
        <w:rPr>
          <w:rFonts w:ascii="Times New Roman" w:hAnsi="Times New Roman"/>
          <w:sz w:val="24"/>
          <w:szCs w:val="24"/>
        </w:rPr>
        <w:t>Учитывая фактическое исполнение по данному источнику за 8 месяцев 201</w:t>
      </w:r>
      <w:r>
        <w:rPr>
          <w:rFonts w:ascii="Times New Roman" w:hAnsi="Times New Roman"/>
          <w:sz w:val="24"/>
          <w:szCs w:val="24"/>
        </w:rPr>
        <w:t>9</w:t>
      </w:r>
      <w:r w:rsidRPr="009F4A48">
        <w:rPr>
          <w:rFonts w:ascii="Times New Roman" w:hAnsi="Times New Roman"/>
          <w:sz w:val="24"/>
          <w:szCs w:val="24"/>
        </w:rPr>
        <w:t xml:space="preserve"> года, оценку исполнения по данным палаты по итогам т.г., и прогнозируемые темпы роста по данному источнику, отраженные в Пояснительной записке, Контрольно-счетной палатой произведен расчет объемов поступлений на 20</w:t>
      </w:r>
      <w:r>
        <w:rPr>
          <w:rFonts w:ascii="Times New Roman" w:hAnsi="Times New Roman"/>
          <w:sz w:val="24"/>
          <w:szCs w:val="24"/>
        </w:rPr>
        <w:t>20</w:t>
      </w:r>
      <w:r w:rsidRPr="009F4A48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9F4A48">
        <w:rPr>
          <w:rFonts w:ascii="Times New Roman" w:hAnsi="Times New Roman"/>
          <w:sz w:val="24"/>
          <w:szCs w:val="24"/>
        </w:rPr>
        <w:t xml:space="preserve"> гг.</w:t>
      </w:r>
    </w:p>
    <w:p w:rsidR="001E4617" w:rsidRPr="009F4A48" w:rsidRDefault="001E4617" w:rsidP="009F4A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4A48">
        <w:rPr>
          <w:rFonts w:ascii="Times New Roman" w:hAnsi="Times New Roman"/>
          <w:sz w:val="24"/>
          <w:szCs w:val="24"/>
        </w:rPr>
        <w:t>Ожидаемое поступление по доходам от оказания платных услуг (работ) и компенсации затрат государства в областном бюджете в 20</w:t>
      </w:r>
      <w:r>
        <w:rPr>
          <w:rFonts w:ascii="Times New Roman" w:hAnsi="Times New Roman"/>
          <w:sz w:val="24"/>
          <w:szCs w:val="24"/>
        </w:rPr>
        <w:t>20</w:t>
      </w:r>
      <w:r w:rsidRPr="009F4A48">
        <w:rPr>
          <w:rFonts w:ascii="Times New Roman" w:hAnsi="Times New Roman"/>
          <w:sz w:val="24"/>
          <w:szCs w:val="24"/>
        </w:rPr>
        <w:t xml:space="preserve"> году оценивается в размере </w:t>
      </w:r>
      <w:r>
        <w:rPr>
          <w:rFonts w:ascii="Times New Roman" w:hAnsi="Times New Roman"/>
          <w:sz w:val="24"/>
          <w:szCs w:val="24"/>
        </w:rPr>
        <w:t>91,6</w:t>
      </w:r>
      <w:r w:rsidRPr="009F4A48">
        <w:rPr>
          <w:rFonts w:ascii="Times New Roman" w:hAnsi="Times New Roman"/>
          <w:sz w:val="24"/>
          <w:szCs w:val="24"/>
        </w:rPr>
        <w:t xml:space="preserve"> млн.руб., </w:t>
      </w:r>
      <w:r>
        <w:rPr>
          <w:rFonts w:ascii="Times New Roman" w:hAnsi="Times New Roman"/>
          <w:b/>
          <w:sz w:val="24"/>
          <w:szCs w:val="24"/>
        </w:rPr>
        <w:t>(+ 12,2</w:t>
      </w:r>
      <w:r w:rsidRPr="009F4A48">
        <w:rPr>
          <w:rFonts w:ascii="Times New Roman" w:hAnsi="Times New Roman"/>
          <w:b/>
          <w:sz w:val="24"/>
          <w:szCs w:val="24"/>
        </w:rPr>
        <w:t xml:space="preserve"> млн.руб. </w:t>
      </w:r>
      <w:r w:rsidRPr="009F4A48">
        <w:rPr>
          <w:rFonts w:ascii="Times New Roman" w:hAnsi="Times New Roman"/>
          <w:sz w:val="24"/>
          <w:szCs w:val="24"/>
        </w:rPr>
        <w:t xml:space="preserve">к прогнозу Администрации), в том числе платные услуги – </w:t>
      </w:r>
      <w:r>
        <w:rPr>
          <w:rFonts w:ascii="Times New Roman" w:hAnsi="Times New Roman"/>
          <w:sz w:val="24"/>
          <w:szCs w:val="24"/>
        </w:rPr>
        <w:t>61,2</w:t>
      </w:r>
      <w:r w:rsidRPr="009F4A48">
        <w:rPr>
          <w:rFonts w:ascii="Times New Roman" w:hAnsi="Times New Roman"/>
          <w:sz w:val="24"/>
          <w:szCs w:val="24"/>
        </w:rPr>
        <w:t xml:space="preserve"> млн.руб., компенсация затрат </w:t>
      </w:r>
      <w:r>
        <w:rPr>
          <w:rFonts w:ascii="Times New Roman" w:hAnsi="Times New Roman"/>
          <w:sz w:val="24"/>
          <w:szCs w:val="24"/>
        </w:rPr>
        <w:t xml:space="preserve">государства </w:t>
      </w:r>
      <w:r w:rsidRPr="009F4A48">
        <w:rPr>
          <w:rFonts w:ascii="Times New Roman" w:hAnsi="Times New Roman"/>
          <w:sz w:val="24"/>
          <w:szCs w:val="24"/>
        </w:rPr>
        <w:t>– 30,</w:t>
      </w:r>
      <w:r>
        <w:rPr>
          <w:rFonts w:ascii="Times New Roman" w:hAnsi="Times New Roman"/>
          <w:sz w:val="24"/>
          <w:szCs w:val="24"/>
        </w:rPr>
        <w:t>4</w:t>
      </w:r>
      <w:r w:rsidRPr="009F4A48">
        <w:rPr>
          <w:rFonts w:ascii="Times New Roman" w:hAnsi="Times New Roman"/>
          <w:sz w:val="24"/>
          <w:szCs w:val="24"/>
        </w:rPr>
        <w:t xml:space="preserve"> млн.руб. </w:t>
      </w:r>
    </w:p>
    <w:p w:rsidR="001E4617" w:rsidRPr="009F4A48" w:rsidRDefault="001E4617" w:rsidP="009F4A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4A48">
        <w:rPr>
          <w:rFonts w:ascii="Times New Roman" w:hAnsi="Times New Roman"/>
          <w:sz w:val="24"/>
          <w:szCs w:val="24"/>
        </w:rPr>
        <w:t>Прогнозное поступление платежей в областной бюджет в 20</w:t>
      </w:r>
      <w:r>
        <w:rPr>
          <w:rFonts w:ascii="Times New Roman" w:hAnsi="Times New Roman"/>
          <w:sz w:val="24"/>
          <w:szCs w:val="24"/>
        </w:rPr>
        <w:t>21</w:t>
      </w:r>
      <w:r w:rsidRPr="009F4A48">
        <w:rPr>
          <w:rFonts w:ascii="Times New Roman" w:hAnsi="Times New Roman"/>
          <w:sz w:val="24"/>
          <w:szCs w:val="24"/>
        </w:rPr>
        <w:t xml:space="preserve"> году может составить </w:t>
      </w:r>
      <w:r>
        <w:rPr>
          <w:rFonts w:ascii="Times New Roman" w:hAnsi="Times New Roman"/>
          <w:sz w:val="24"/>
          <w:szCs w:val="24"/>
        </w:rPr>
        <w:t>до 93,8</w:t>
      </w:r>
      <w:r w:rsidRPr="009F4A48">
        <w:rPr>
          <w:rFonts w:ascii="Times New Roman" w:hAnsi="Times New Roman"/>
          <w:sz w:val="24"/>
          <w:szCs w:val="24"/>
        </w:rPr>
        <w:t xml:space="preserve"> млн.руб. (</w:t>
      </w:r>
      <w:r>
        <w:rPr>
          <w:rFonts w:ascii="Times New Roman" w:hAnsi="Times New Roman"/>
          <w:sz w:val="24"/>
          <w:szCs w:val="24"/>
        </w:rPr>
        <w:t>платные услуги 63,4</w:t>
      </w:r>
      <w:r w:rsidRPr="009F4A48">
        <w:rPr>
          <w:rFonts w:ascii="Times New Roman" w:hAnsi="Times New Roman"/>
          <w:sz w:val="24"/>
          <w:szCs w:val="24"/>
        </w:rPr>
        <w:t xml:space="preserve"> млн.руб., компенсация затрат 30,4 млн.руб.), в 202</w:t>
      </w:r>
      <w:r>
        <w:rPr>
          <w:rFonts w:ascii="Times New Roman" w:hAnsi="Times New Roman"/>
          <w:sz w:val="24"/>
          <w:szCs w:val="24"/>
        </w:rPr>
        <w:t>2 году 96,3 млн.руб. (платные услуги 65</w:t>
      </w:r>
      <w:r w:rsidRPr="009F4A48">
        <w:rPr>
          <w:rFonts w:ascii="Times New Roman" w:hAnsi="Times New Roman"/>
          <w:sz w:val="24"/>
          <w:szCs w:val="24"/>
        </w:rPr>
        <w:t>,9 млн.руб., компенсация затрат 30,4 млн.руб.).</w:t>
      </w:r>
    </w:p>
    <w:p w:rsidR="001E4617" w:rsidRDefault="001E4617" w:rsidP="00EA3B9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4617" w:rsidRPr="00EA3B98" w:rsidRDefault="001E4617" w:rsidP="00EA3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3B98">
        <w:rPr>
          <w:rFonts w:ascii="Times New Roman" w:hAnsi="Times New Roman"/>
          <w:b/>
          <w:sz w:val="24"/>
          <w:szCs w:val="24"/>
        </w:rPr>
        <w:t>5.9. Проценты, полученные от предоставления бюджетных кредитов</w:t>
      </w:r>
    </w:p>
    <w:p w:rsidR="001E4617" w:rsidRDefault="001E4617" w:rsidP="0049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4617" w:rsidRPr="00EA3B98" w:rsidRDefault="001E4617" w:rsidP="00EA3B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  <w:r w:rsidRPr="00EA3B98">
        <w:rPr>
          <w:rFonts w:ascii="Times New Roman" w:hAnsi="Times New Roman"/>
          <w:sz w:val="24"/>
          <w:szCs w:val="24"/>
          <w:lang w:eastAsia="ru-RU"/>
        </w:rPr>
        <w:t>Законопроектом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3B98">
        <w:rPr>
          <w:rFonts w:ascii="Times New Roman" w:hAnsi="Times New Roman"/>
          <w:sz w:val="24"/>
          <w:szCs w:val="24"/>
          <w:lang w:eastAsia="ru-RU"/>
        </w:rPr>
        <w:t xml:space="preserve">предусмотрено, что бюджетные кредиты из областного бюджета в 2020-2022 годах будут предоставляться только </w:t>
      </w:r>
      <w:r w:rsidRPr="00EA3B98">
        <w:rPr>
          <w:rFonts w:ascii="Times New Roman" w:hAnsi="Times New Roman"/>
          <w:sz w:val="24"/>
          <w:szCs w:val="26"/>
          <w:lang w:eastAsia="ru-RU"/>
        </w:rPr>
        <w:t>местным бюджетам в пределах общего объема бюджетных ассигнований, предусмотренных по источникам финансирования дефицита областного бюджета, в сумме до 300 000 тыс. рублей на срок до трех лет в целях частичного покрытия дефицитов местных бюджетов, погашения муниципальных долговых обязательств, а также осуществления мероприятий, связанных с предупреждением и ликвидацией последствий стихийных бедствий и техногенных аварий.</w:t>
      </w:r>
    </w:p>
    <w:p w:rsidR="001E4617" w:rsidRPr="00EA3B98" w:rsidRDefault="001E4617" w:rsidP="00EA3B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B98">
        <w:rPr>
          <w:rFonts w:ascii="Times New Roman" w:hAnsi="Times New Roman"/>
          <w:sz w:val="24"/>
          <w:szCs w:val="24"/>
          <w:lang w:eastAsia="ru-RU"/>
        </w:rPr>
        <w:lastRenderedPageBreak/>
        <w:t>При этом плата за пользование бюджетным кредитом на частичное покрытие дефицита местного бюджета и погашения муниципальных долговых обязательств устанавливается в размере ключевой ставки Центрального банка РФ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A3B98">
        <w:rPr>
          <w:rFonts w:ascii="Times New Roman" w:hAnsi="Times New Roman"/>
          <w:sz w:val="24"/>
          <w:szCs w:val="24"/>
          <w:lang w:eastAsia="ru-RU"/>
        </w:rPr>
        <w:t xml:space="preserve">действующей на день заключения договора о предоставлении бюджетного кредита, а при осуществлении мероприятий, связанных с ликвидацией последствий стихийных бедствий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A3B98">
        <w:rPr>
          <w:rFonts w:ascii="Times New Roman" w:hAnsi="Times New Roman"/>
          <w:sz w:val="24"/>
          <w:szCs w:val="24"/>
          <w:lang w:eastAsia="ru-RU"/>
        </w:rPr>
        <w:t xml:space="preserve">по ставке 0,01 процента годовых от суммы бюджетного кредита. </w:t>
      </w:r>
    </w:p>
    <w:p w:rsidR="001E4617" w:rsidRPr="00EA3B98" w:rsidRDefault="001E4617" w:rsidP="00EA3B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B98">
        <w:rPr>
          <w:rFonts w:ascii="Times New Roman" w:hAnsi="Times New Roman"/>
          <w:sz w:val="24"/>
          <w:szCs w:val="24"/>
          <w:lang w:eastAsia="ru-RU"/>
        </w:rPr>
        <w:t xml:space="preserve">Проектом закона прогнозируются доходы областного бюджета от уплаты процентов, полученных от предоставления бюджетных кредитов, в 2020 году в сумме  7,4 млн.руб., в 2021 году -  3,3 млн.руб., в 2022 году - </w:t>
      </w:r>
      <w:r w:rsidRPr="00EA3B98">
        <w:rPr>
          <w:rFonts w:ascii="Times New Roman" w:hAnsi="Times New Roman"/>
          <w:b/>
          <w:sz w:val="24"/>
          <w:szCs w:val="24"/>
          <w:lang w:eastAsia="ru-RU"/>
        </w:rPr>
        <w:t>0</w:t>
      </w:r>
      <w:r w:rsidRPr="00EA3B98">
        <w:rPr>
          <w:rFonts w:ascii="Times New Roman" w:hAnsi="Times New Roman"/>
          <w:sz w:val="24"/>
          <w:szCs w:val="24"/>
          <w:lang w:eastAsia="ru-RU"/>
        </w:rPr>
        <w:t xml:space="preserve"> млн.руб.</w:t>
      </w:r>
      <w:r>
        <w:rPr>
          <w:rFonts w:ascii="Times New Roman" w:hAnsi="Times New Roman"/>
          <w:sz w:val="24"/>
          <w:szCs w:val="24"/>
          <w:lang w:eastAsia="ru-RU"/>
        </w:rPr>
        <w:t>, тогда как</w:t>
      </w:r>
      <w:r w:rsidRPr="00EA3B98">
        <w:rPr>
          <w:rFonts w:ascii="Times New Roman" w:hAnsi="Times New Roman"/>
          <w:sz w:val="24"/>
          <w:szCs w:val="24"/>
          <w:lang w:eastAsia="ru-RU"/>
        </w:rPr>
        <w:t xml:space="preserve"> законопроектом предусмотрено предоставление бюджетных кредитов в объеме до 300 млн.руб. и в 2022 году. </w:t>
      </w:r>
    </w:p>
    <w:p w:rsidR="001E4617" w:rsidRPr="00EA3B98" w:rsidRDefault="001E4617" w:rsidP="00EA3B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B98">
        <w:rPr>
          <w:rFonts w:ascii="Times New Roman" w:hAnsi="Times New Roman"/>
          <w:sz w:val="24"/>
          <w:szCs w:val="24"/>
          <w:lang w:eastAsia="ru-RU"/>
        </w:rPr>
        <w:t>По состоянию на 01.09.2019 доходы областного бюджета от уплаты процентов, полученных от предоставления бюджетных кредитов составили 8,2 млн.руб. Ожидаемое исполнение областного бюджета в части указанного доходного источника, указанного в материалах к законопроекту составит в 2019 году – 14,3 млн.руб.</w:t>
      </w:r>
    </w:p>
    <w:p w:rsidR="001E4617" w:rsidRPr="00EA3B98" w:rsidRDefault="001E4617" w:rsidP="00EA3B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Контрольно-счетной палатой проанализировано </w:t>
      </w:r>
      <w:r w:rsidRPr="00EA3B98">
        <w:rPr>
          <w:rFonts w:ascii="Times New Roman" w:hAnsi="Times New Roman"/>
          <w:sz w:val="24"/>
          <w:szCs w:val="24"/>
          <w:lang w:eastAsia="ru-RU"/>
        </w:rPr>
        <w:t>отклонение планируемых доходов от указанного источника в законопроектах в период с 2016 по 2019 годы от фактически поступивших в доход областного бюджета процентов от предоставления бюджетных кредитов</w:t>
      </w:r>
      <w:r>
        <w:rPr>
          <w:rFonts w:ascii="Times New Roman" w:hAnsi="Times New Roman"/>
          <w:sz w:val="24"/>
          <w:szCs w:val="24"/>
          <w:lang w:eastAsia="ru-RU"/>
        </w:rPr>
        <w:t xml:space="preserve">, среднее значение за последние 3 года </w:t>
      </w:r>
      <w:r w:rsidRPr="00EA3B98">
        <w:rPr>
          <w:rFonts w:ascii="Times New Roman" w:hAnsi="Times New Roman"/>
          <w:sz w:val="24"/>
          <w:szCs w:val="24"/>
          <w:lang w:eastAsia="ru-RU"/>
        </w:rPr>
        <w:t>составляет 42%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E4617" w:rsidRPr="00EA3B98" w:rsidRDefault="001E4617" w:rsidP="00EA3B98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EA3B98">
        <w:rPr>
          <w:rFonts w:ascii="Times New Roman" w:hAnsi="Times New Roman"/>
          <w:sz w:val="20"/>
          <w:szCs w:val="20"/>
          <w:lang w:eastAsia="ru-RU"/>
        </w:rPr>
        <w:t>млн.руб.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2850"/>
        <w:gridCol w:w="1681"/>
        <w:gridCol w:w="1681"/>
      </w:tblGrid>
      <w:tr w:rsidR="001E4617" w:rsidRPr="00606949" w:rsidTr="003F23A5">
        <w:trPr>
          <w:trHeight w:val="277"/>
        </w:trPr>
        <w:tc>
          <w:tcPr>
            <w:tcW w:w="2939" w:type="dxa"/>
          </w:tcPr>
          <w:p w:rsidR="001E4617" w:rsidRPr="00EA3B98" w:rsidRDefault="001E4617" w:rsidP="00EA3B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vAlign w:val="center"/>
          </w:tcPr>
          <w:p w:rsidR="001E4617" w:rsidRPr="00EA3B98" w:rsidRDefault="001E4617" w:rsidP="00EA3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A3B9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681" w:type="dxa"/>
            <w:vAlign w:val="center"/>
          </w:tcPr>
          <w:p w:rsidR="001E4617" w:rsidRPr="00EA3B98" w:rsidRDefault="001E4617" w:rsidP="00EA3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A3B9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681" w:type="dxa"/>
            <w:vAlign w:val="center"/>
          </w:tcPr>
          <w:p w:rsidR="001E4617" w:rsidRPr="00EA3B98" w:rsidRDefault="001E4617" w:rsidP="00EA3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A3B9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Отклонение, %</w:t>
            </w:r>
          </w:p>
        </w:tc>
      </w:tr>
      <w:tr w:rsidR="001E4617" w:rsidRPr="00606949" w:rsidTr="003F23A5">
        <w:trPr>
          <w:trHeight w:val="277"/>
        </w:trPr>
        <w:tc>
          <w:tcPr>
            <w:tcW w:w="2939" w:type="dxa"/>
          </w:tcPr>
          <w:p w:rsidR="001E4617" w:rsidRPr="00EA3B98" w:rsidRDefault="001E4617" w:rsidP="00EA3B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3B9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Проект бюджета на 2016 год</w:t>
            </w:r>
          </w:p>
        </w:tc>
        <w:tc>
          <w:tcPr>
            <w:tcW w:w="2850" w:type="dxa"/>
            <w:vAlign w:val="center"/>
          </w:tcPr>
          <w:p w:rsidR="001E4617" w:rsidRPr="00EA3B98" w:rsidRDefault="001E4617" w:rsidP="00EA3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3B98">
              <w:rPr>
                <w:rFonts w:ascii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681" w:type="dxa"/>
            <w:vAlign w:val="center"/>
          </w:tcPr>
          <w:p w:rsidR="001E4617" w:rsidRPr="00EA3B98" w:rsidRDefault="001E4617" w:rsidP="00EA3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3B98">
              <w:rPr>
                <w:rFonts w:ascii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681" w:type="dxa"/>
            <w:vAlign w:val="center"/>
          </w:tcPr>
          <w:p w:rsidR="001E4617" w:rsidRPr="00EA3B98" w:rsidRDefault="001E4617" w:rsidP="00EA3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3B98">
              <w:rPr>
                <w:rFonts w:ascii="Times New Roman" w:hAnsi="Times New Roman"/>
                <w:sz w:val="20"/>
                <w:szCs w:val="20"/>
                <w:lang w:eastAsia="ru-RU"/>
              </w:rPr>
              <w:t>230</w:t>
            </w:r>
          </w:p>
        </w:tc>
      </w:tr>
      <w:tr w:rsidR="001E4617" w:rsidRPr="00606949" w:rsidTr="003F23A5">
        <w:trPr>
          <w:trHeight w:val="554"/>
        </w:trPr>
        <w:tc>
          <w:tcPr>
            <w:tcW w:w="2939" w:type="dxa"/>
          </w:tcPr>
          <w:p w:rsidR="001E4617" w:rsidRPr="00EA3B98" w:rsidRDefault="001E4617" w:rsidP="00EA3B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3B98">
              <w:rPr>
                <w:rFonts w:ascii="Times New Roman" w:hAnsi="Times New Roman"/>
                <w:sz w:val="20"/>
                <w:szCs w:val="20"/>
                <w:lang w:eastAsia="ru-RU"/>
              </w:rPr>
              <w:t>Проект бюджета на  2017 год</w:t>
            </w:r>
          </w:p>
        </w:tc>
        <w:tc>
          <w:tcPr>
            <w:tcW w:w="2850" w:type="dxa"/>
            <w:vAlign w:val="center"/>
          </w:tcPr>
          <w:p w:rsidR="001E4617" w:rsidRPr="00EA3B98" w:rsidRDefault="001E4617" w:rsidP="00EA3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3B98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681" w:type="dxa"/>
            <w:vAlign w:val="center"/>
          </w:tcPr>
          <w:p w:rsidR="001E4617" w:rsidRPr="00EA3B98" w:rsidRDefault="001E4617" w:rsidP="00EA3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3B98">
              <w:rPr>
                <w:rFonts w:ascii="Times New Roman" w:hAnsi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681" w:type="dxa"/>
            <w:vAlign w:val="center"/>
          </w:tcPr>
          <w:p w:rsidR="001E4617" w:rsidRPr="00EA3B98" w:rsidRDefault="001E4617" w:rsidP="00EA3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3B98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</w:tr>
      <w:tr w:rsidR="001E4617" w:rsidRPr="00606949" w:rsidTr="003F23A5">
        <w:trPr>
          <w:trHeight w:val="645"/>
        </w:trPr>
        <w:tc>
          <w:tcPr>
            <w:tcW w:w="2939" w:type="dxa"/>
          </w:tcPr>
          <w:p w:rsidR="001E4617" w:rsidRPr="00EA3B98" w:rsidRDefault="001E4617" w:rsidP="00EA3B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3B98">
              <w:rPr>
                <w:rFonts w:ascii="Times New Roman" w:hAnsi="Times New Roman"/>
                <w:sz w:val="20"/>
                <w:szCs w:val="20"/>
                <w:lang w:eastAsia="ru-RU"/>
              </w:rPr>
              <w:t>Проект бюджета на  2018 год</w:t>
            </w:r>
          </w:p>
          <w:p w:rsidR="001E4617" w:rsidRPr="00EA3B98" w:rsidRDefault="001E4617" w:rsidP="00EA3B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vAlign w:val="center"/>
          </w:tcPr>
          <w:p w:rsidR="001E4617" w:rsidRPr="00EA3B98" w:rsidRDefault="001E4617" w:rsidP="00EA3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3B98">
              <w:rPr>
                <w:rFonts w:ascii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681" w:type="dxa"/>
            <w:vAlign w:val="center"/>
          </w:tcPr>
          <w:p w:rsidR="001E4617" w:rsidRPr="00EA3B98" w:rsidRDefault="001E4617" w:rsidP="00EA3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3B98">
              <w:rPr>
                <w:rFonts w:ascii="Times New Roman" w:hAnsi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681" w:type="dxa"/>
            <w:vAlign w:val="center"/>
          </w:tcPr>
          <w:p w:rsidR="001E4617" w:rsidRPr="00EA3B98" w:rsidRDefault="001E4617" w:rsidP="00EA3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3B98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</w:tr>
      <w:tr w:rsidR="001E4617" w:rsidRPr="00606949" w:rsidTr="003F23A5">
        <w:trPr>
          <w:trHeight w:val="554"/>
        </w:trPr>
        <w:tc>
          <w:tcPr>
            <w:tcW w:w="2939" w:type="dxa"/>
          </w:tcPr>
          <w:p w:rsidR="001E4617" w:rsidRPr="00EA3B98" w:rsidRDefault="001E4617" w:rsidP="00EA3B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3B98">
              <w:rPr>
                <w:rFonts w:ascii="Times New Roman" w:hAnsi="Times New Roman"/>
                <w:sz w:val="20"/>
                <w:szCs w:val="20"/>
                <w:lang w:eastAsia="ru-RU"/>
              </w:rPr>
              <w:t>Проект бюджета на  2019 год</w:t>
            </w:r>
          </w:p>
        </w:tc>
        <w:tc>
          <w:tcPr>
            <w:tcW w:w="2850" w:type="dxa"/>
            <w:vAlign w:val="center"/>
          </w:tcPr>
          <w:p w:rsidR="001E4617" w:rsidRPr="00EA3B98" w:rsidRDefault="001E4617" w:rsidP="00EA3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3B98">
              <w:rPr>
                <w:rFonts w:ascii="Times New Roman" w:hAnsi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681" w:type="dxa"/>
            <w:vAlign w:val="center"/>
          </w:tcPr>
          <w:p w:rsidR="001E4617" w:rsidRPr="00EA3B98" w:rsidRDefault="001E4617" w:rsidP="00EA3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3B98">
              <w:rPr>
                <w:rFonts w:ascii="Times New Roman" w:hAnsi="Times New Roman"/>
                <w:sz w:val="20"/>
                <w:szCs w:val="20"/>
                <w:lang w:eastAsia="ru-RU"/>
              </w:rPr>
              <w:t>14,3 (ожид.)</w:t>
            </w:r>
          </w:p>
        </w:tc>
        <w:tc>
          <w:tcPr>
            <w:tcW w:w="1681" w:type="dxa"/>
            <w:vAlign w:val="center"/>
          </w:tcPr>
          <w:p w:rsidR="001E4617" w:rsidRPr="00EA3B98" w:rsidRDefault="001E4617" w:rsidP="00EA3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3B98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</w:tr>
      <w:tr w:rsidR="001E4617" w:rsidRPr="00606949" w:rsidTr="003F23A5">
        <w:trPr>
          <w:trHeight w:val="292"/>
        </w:trPr>
        <w:tc>
          <w:tcPr>
            <w:tcW w:w="7470" w:type="dxa"/>
            <w:gridSpan w:val="3"/>
          </w:tcPr>
          <w:p w:rsidR="001E4617" w:rsidRPr="00EA3B98" w:rsidRDefault="001E4617" w:rsidP="00EA3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A3B9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Среднее отклонение</w:t>
            </w:r>
          </w:p>
        </w:tc>
        <w:tc>
          <w:tcPr>
            <w:tcW w:w="1681" w:type="dxa"/>
            <w:vAlign w:val="center"/>
          </w:tcPr>
          <w:p w:rsidR="001E4617" w:rsidRPr="00EA3B98" w:rsidRDefault="001E4617" w:rsidP="00EA3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A3B9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42</w:t>
            </w:r>
          </w:p>
        </w:tc>
      </w:tr>
    </w:tbl>
    <w:p w:rsidR="001E4617" w:rsidRPr="00EA3B98" w:rsidRDefault="001E4617" w:rsidP="00EA3B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E4617" w:rsidRPr="00EA3B98" w:rsidRDefault="001E4617" w:rsidP="00EA3B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B98">
        <w:rPr>
          <w:rFonts w:ascii="Times New Roman" w:hAnsi="Times New Roman"/>
          <w:sz w:val="24"/>
          <w:szCs w:val="24"/>
          <w:lang w:eastAsia="ru-RU"/>
        </w:rPr>
        <w:t xml:space="preserve">Исходя из вышеизложенного, по мнению Контрольно-счетной палаты доходы от уплаты процентов в 2020 году могут составить не менее 10,5 млн.руб. (7,4*1,42) или </w:t>
      </w:r>
      <w:r w:rsidRPr="00EA3B98">
        <w:rPr>
          <w:rFonts w:ascii="Times New Roman" w:hAnsi="Times New Roman"/>
          <w:b/>
          <w:sz w:val="24"/>
          <w:szCs w:val="24"/>
          <w:lang w:eastAsia="ru-RU"/>
        </w:rPr>
        <w:t>на 3,1 млн.руб. больше</w:t>
      </w:r>
      <w:r w:rsidRPr="00EA3B98">
        <w:rPr>
          <w:rFonts w:ascii="Times New Roman" w:hAnsi="Times New Roman"/>
          <w:sz w:val="24"/>
          <w:szCs w:val="24"/>
          <w:lang w:eastAsia="ru-RU"/>
        </w:rPr>
        <w:t>, чем указано в законопроекте.</w:t>
      </w:r>
    </w:p>
    <w:p w:rsidR="001E4617" w:rsidRPr="004922B9" w:rsidRDefault="001E4617" w:rsidP="0049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4617" w:rsidRPr="004839EA" w:rsidRDefault="001E4617" w:rsidP="004839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839EA">
        <w:rPr>
          <w:rFonts w:ascii="Times New Roman" w:hAnsi="Times New Roman"/>
          <w:b/>
          <w:sz w:val="24"/>
          <w:szCs w:val="24"/>
        </w:rPr>
        <w:t xml:space="preserve">С учетом изложенного в настоящем разделе, требуется </w:t>
      </w:r>
      <w:r>
        <w:rPr>
          <w:rFonts w:ascii="Times New Roman" w:hAnsi="Times New Roman"/>
          <w:b/>
          <w:sz w:val="24"/>
          <w:szCs w:val="24"/>
        </w:rPr>
        <w:t xml:space="preserve">дополнительное рассмотрение и </w:t>
      </w:r>
      <w:r w:rsidRPr="004839EA">
        <w:rPr>
          <w:rFonts w:ascii="Times New Roman" w:hAnsi="Times New Roman"/>
          <w:b/>
          <w:sz w:val="24"/>
          <w:szCs w:val="24"/>
        </w:rPr>
        <w:t xml:space="preserve">доработка прогнозных значений по </w:t>
      </w:r>
      <w:r>
        <w:rPr>
          <w:rFonts w:ascii="Times New Roman" w:hAnsi="Times New Roman"/>
          <w:b/>
          <w:sz w:val="24"/>
          <w:szCs w:val="24"/>
        </w:rPr>
        <w:t xml:space="preserve">ряду </w:t>
      </w:r>
      <w:r w:rsidRPr="004839EA">
        <w:rPr>
          <w:rFonts w:ascii="Times New Roman" w:hAnsi="Times New Roman"/>
          <w:b/>
          <w:sz w:val="24"/>
          <w:szCs w:val="24"/>
        </w:rPr>
        <w:t>доходны</w:t>
      </w:r>
      <w:r>
        <w:rPr>
          <w:rFonts w:ascii="Times New Roman" w:hAnsi="Times New Roman"/>
          <w:b/>
          <w:sz w:val="24"/>
          <w:szCs w:val="24"/>
        </w:rPr>
        <w:t>х</w:t>
      </w:r>
      <w:r w:rsidRPr="004839EA">
        <w:rPr>
          <w:rFonts w:ascii="Times New Roman" w:hAnsi="Times New Roman"/>
          <w:b/>
          <w:sz w:val="24"/>
          <w:szCs w:val="24"/>
        </w:rPr>
        <w:t xml:space="preserve"> источник</w:t>
      </w:r>
      <w:r>
        <w:rPr>
          <w:rFonts w:ascii="Times New Roman" w:hAnsi="Times New Roman"/>
          <w:b/>
          <w:sz w:val="24"/>
          <w:szCs w:val="24"/>
        </w:rPr>
        <w:t>ов</w:t>
      </w:r>
      <w:r w:rsidRPr="004839EA">
        <w:rPr>
          <w:rFonts w:ascii="Times New Roman" w:hAnsi="Times New Roman"/>
          <w:b/>
          <w:sz w:val="24"/>
          <w:szCs w:val="24"/>
        </w:rPr>
        <w:t>.</w:t>
      </w:r>
    </w:p>
    <w:p w:rsidR="001E4617" w:rsidRPr="003F23A5" w:rsidRDefault="001E4617" w:rsidP="003F23A5">
      <w:pPr>
        <w:spacing w:before="240" w:after="0" w:line="288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F23A5">
        <w:rPr>
          <w:rFonts w:ascii="Times New Roman" w:hAnsi="Times New Roman"/>
          <w:b/>
          <w:sz w:val="24"/>
          <w:szCs w:val="24"/>
          <w:lang w:eastAsia="ru-RU"/>
        </w:rPr>
        <w:t>6. Расходы областного бюджета</w:t>
      </w:r>
    </w:p>
    <w:p w:rsidR="001E4617" w:rsidRDefault="001E4617" w:rsidP="00886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4617" w:rsidRPr="003F23A5" w:rsidRDefault="001E4617" w:rsidP="003F23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23A5">
        <w:rPr>
          <w:rFonts w:ascii="Times New Roman" w:hAnsi="Times New Roman"/>
          <w:b/>
          <w:sz w:val="24"/>
          <w:szCs w:val="24"/>
        </w:rPr>
        <w:t>6.1. Анализ паспортов, перечня и объемов финансирования государственных программ Томской области</w:t>
      </w:r>
    </w:p>
    <w:p w:rsidR="001E4617" w:rsidRPr="00B42E6C" w:rsidRDefault="001E4617" w:rsidP="00B42E6C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617" w:rsidRPr="00B42E6C" w:rsidRDefault="001E4617" w:rsidP="00B42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2E6C">
        <w:rPr>
          <w:rFonts w:ascii="Times New Roman" w:hAnsi="Times New Roman"/>
          <w:sz w:val="24"/>
          <w:szCs w:val="24"/>
        </w:rPr>
        <w:t xml:space="preserve">В соответствии со ст. 15 Закона </w:t>
      </w:r>
      <w:r w:rsidRPr="00B42E6C">
        <w:rPr>
          <w:rFonts w:ascii="Times New Roman" w:hAnsi="Times New Roman"/>
          <w:sz w:val="24"/>
          <w:szCs w:val="26"/>
        </w:rPr>
        <w:t>Томской области «О бюджетном процессе в Томской области» с</w:t>
      </w:r>
      <w:r w:rsidRPr="00B42E6C">
        <w:rPr>
          <w:rFonts w:ascii="Times New Roman" w:hAnsi="Times New Roman"/>
          <w:sz w:val="24"/>
          <w:szCs w:val="24"/>
        </w:rPr>
        <w:t xml:space="preserve">оставление проекта областного бюджета основывается в т.ч. на положениях Послания Президента Российской Федерации Федеральному Собранию Российской Федерации, </w:t>
      </w:r>
      <w:r w:rsidRPr="00B42E6C">
        <w:rPr>
          <w:rFonts w:ascii="Times New Roman" w:hAnsi="Times New Roman"/>
          <w:b/>
          <w:sz w:val="24"/>
          <w:szCs w:val="24"/>
        </w:rPr>
        <w:t>определяющих бюджетную политику (требования к бюджетной политике)</w:t>
      </w:r>
      <w:r w:rsidRPr="00B42E6C">
        <w:rPr>
          <w:rFonts w:ascii="Times New Roman" w:hAnsi="Times New Roman"/>
          <w:sz w:val="24"/>
          <w:szCs w:val="24"/>
        </w:rPr>
        <w:t xml:space="preserve"> в Российской Федерации; основных направлениях бюджетной и налоговой политики Томской области; государственных программах Томской области (проектах государственных программ Томской области, проектах изменений указанных программ).</w:t>
      </w:r>
    </w:p>
    <w:p w:rsidR="001E4617" w:rsidRPr="00B42E6C" w:rsidRDefault="001E4617" w:rsidP="00B42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2E6C">
        <w:rPr>
          <w:rFonts w:ascii="Times New Roman" w:hAnsi="Times New Roman"/>
          <w:bCs/>
          <w:sz w:val="24"/>
          <w:szCs w:val="24"/>
        </w:rPr>
        <w:t>Согласно положениям основных направлений бюджетной политики на 2020 год и на плановый период 2021 и 2022 годов Российской Федерации, в 2018 - 1 полугодии 2019 гг. была проделана значительная подготовительная работа по достижению национальных целей разви</w:t>
      </w:r>
      <w:r>
        <w:rPr>
          <w:rFonts w:ascii="Times New Roman" w:hAnsi="Times New Roman"/>
          <w:bCs/>
          <w:sz w:val="24"/>
          <w:szCs w:val="24"/>
        </w:rPr>
        <w:t>тия, в том числе предусмотренных</w:t>
      </w:r>
      <w:r w:rsidRPr="00B42E6C">
        <w:rPr>
          <w:rFonts w:ascii="Times New Roman" w:hAnsi="Times New Roman"/>
          <w:bCs/>
          <w:sz w:val="24"/>
          <w:szCs w:val="24"/>
        </w:rPr>
        <w:t xml:space="preserve"> в рамках национальных проектов (Указ Президента </w:t>
      </w:r>
      <w:r w:rsidRPr="00B42E6C">
        <w:rPr>
          <w:rFonts w:ascii="Times New Roman" w:hAnsi="Times New Roman"/>
          <w:bCs/>
          <w:sz w:val="24"/>
          <w:szCs w:val="24"/>
        </w:rPr>
        <w:lastRenderedPageBreak/>
        <w:t>Российской Федерации от 7 мая 2018 г. № 204 «О национальных целях и стратегических задачах развития Российской Федерации на период до 2024 года»):</w:t>
      </w:r>
    </w:p>
    <w:p w:rsidR="001E4617" w:rsidRPr="00B42E6C" w:rsidRDefault="001E4617" w:rsidP="00B42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2E6C">
        <w:rPr>
          <w:rFonts w:ascii="Times New Roman" w:hAnsi="Times New Roman"/>
          <w:bCs/>
          <w:sz w:val="24"/>
          <w:szCs w:val="24"/>
        </w:rPr>
        <w:t>- сформирована и сконцентрирована ресурсная база национальных проектов: приняты изменения в налоговом законодательстве, в целях повышения финансирования инфраструктуры увеличены государственные заимствования;</w:t>
      </w:r>
    </w:p>
    <w:p w:rsidR="001E4617" w:rsidRPr="00B42E6C" w:rsidRDefault="001E4617" w:rsidP="00B42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2E6C">
        <w:rPr>
          <w:rFonts w:ascii="Times New Roman" w:hAnsi="Times New Roman"/>
          <w:bCs/>
          <w:sz w:val="24"/>
          <w:szCs w:val="24"/>
        </w:rPr>
        <w:t>- сформированы и утверждены паспорта национальных, федеральных и региональных проектов (и другие механизмы достижения национальных целей развития - план по увеличению инвестиций до 25% ВВП и др.) с конкретными мероприятиями, ответственными, сроками и результатами их реализации;</w:t>
      </w:r>
    </w:p>
    <w:p w:rsidR="001E4617" w:rsidRPr="00B42E6C" w:rsidRDefault="001E4617" w:rsidP="00B42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2E6C">
        <w:rPr>
          <w:rFonts w:ascii="Times New Roman" w:hAnsi="Times New Roman"/>
          <w:bCs/>
          <w:sz w:val="24"/>
          <w:szCs w:val="24"/>
        </w:rPr>
        <w:t>- в целях полноценного вовлечения регионов определены стимулирующие параметры софинансирования при реализации национальных проектов на территории</w:t>
      </w:r>
      <w:r>
        <w:rPr>
          <w:rFonts w:ascii="Times New Roman" w:hAnsi="Times New Roman"/>
          <w:bCs/>
          <w:sz w:val="24"/>
          <w:szCs w:val="24"/>
        </w:rPr>
        <w:t xml:space="preserve"> субъектов Российской Федерации.</w:t>
      </w:r>
    </w:p>
    <w:p w:rsidR="001E4617" w:rsidRPr="00B42E6C" w:rsidRDefault="001E4617" w:rsidP="00E64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2E6C">
        <w:rPr>
          <w:rFonts w:ascii="Times New Roman" w:hAnsi="Times New Roman"/>
          <w:bCs/>
          <w:sz w:val="24"/>
          <w:szCs w:val="24"/>
        </w:rPr>
        <w:t xml:space="preserve">Основным инструментом достижения национальных целей развития стали национальные проекты, формируемые с шестилетним горизонтом планирования. В целях организации эффективной системы мониторинга и управления реализацией национальных проектов на федеральном уровне </w:t>
      </w:r>
      <w:r>
        <w:rPr>
          <w:rFonts w:ascii="Times New Roman" w:hAnsi="Times New Roman"/>
          <w:bCs/>
          <w:sz w:val="24"/>
          <w:szCs w:val="24"/>
        </w:rPr>
        <w:t>о</w:t>
      </w:r>
      <w:r w:rsidRPr="00B42E6C">
        <w:rPr>
          <w:rFonts w:ascii="Times New Roman" w:hAnsi="Times New Roman"/>
          <w:bCs/>
          <w:sz w:val="24"/>
          <w:szCs w:val="24"/>
        </w:rPr>
        <w:t>беспечена увязка направлений расходов бюджета с измеримыми результатами федеральных проектов, входящих в состав национальных проектов. Тем самым обеспечена прозрачность и возможность контроля использования бюджетных средств на реализацию национальных проектов.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42E6C">
        <w:rPr>
          <w:rFonts w:ascii="Times New Roman" w:hAnsi="Times New Roman"/>
          <w:bCs/>
          <w:sz w:val="24"/>
          <w:szCs w:val="24"/>
        </w:rPr>
        <w:t xml:space="preserve">Мероприятия национальных (федеральных) проектов обособлены в качестве отдельных структурных элементов </w:t>
      </w:r>
      <w:r w:rsidR="009F7811">
        <w:rPr>
          <w:rFonts w:ascii="Times New Roman" w:hAnsi="Times New Roman"/>
          <w:bCs/>
          <w:sz w:val="24"/>
          <w:szCs w:val="24"/>
        </w:rPr>
        <w:t xml:space="preserve">подпрограмм </w:t>
      </w:r>
      <w:r w:rsidRPr="00B42E6C">
        <w:rPr>
          <w:rFonts w:ascii="Times New Roman" w:hAnsi="Times New Roman"/>
          <w:bCs/>
          <w:sz w:val="24"/>
          <w:szCs w:val="24"/>
        </w:rPr>
        <w:t xml:space="preserve">государственных программ, а бюджетные ассигнования на их реализацию учитываются на отдельных </w:t>
      </w:r>
      <w:r>
        <w:rPr>
          <w:rFonts w:ascii="Times New Roman" w:hAnsi="Times New Roman"/>
          <w:bCs/>
          <w:sz w:val="24"/>
          <w:szCs w:val="24"/>
        </w:rPr>
        <w:t>кодах бюджетной классификации (</w:t>
      </w:r>
      <w:r w:rsidRPr="00B42E6C">
        <w:rPr>
          <w:rFonts w:ascii="Times New Roman" w:hAnsi="Times New Roman"/>
          <w:bCs/>
          <w:sz w:val="24"/>
          <w:szCs w:val="24"/>
        </w:rPr>
        <w:t>КБК</w:t>
      </w:r>
      <w:r>
        <w:rPr>
          <w:rFonts w:ascii="Times New Roman" w:hAnsi="Times New Roman"/>
          <w:bCs/>
          <w:sz w:val="24"/>
          <w:szCs w:val="24"/>
        </w:rPr>
        <w:t>)</w:t>
      </w:r>
      <w:r w:rsidRPr="00B42E6C">
        <w:rPr>
          <w:rFonts w:ascii="Times New Roman" w:hAnsi="Times New Roman"/>
          <w:bCs/>
          <w:sz w:val="24"/>
          <w:szCs w:val="24"/>
        </w:rPr>
        <w:t>.</w:t>
      </w:r>
    </w:p>
    <w:p w:rsidR="001E4617" w:rsidRPr="00B42E6C" w:rsidRDefault="001E4617" w:rsidP="00B42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4617" w:rsidRPr="00B42E6C" w:rsidRDefault="001E4617" w:rsidP="00B42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2E6C">
        <w:rPr>
          <w:rFonts w:ascii="Times New Roman" w:hAnsi="Times New Roman"/>
          <w:b/>
          <w:sz w:val="24"/>
          <w:szCs w:val="24"/>
        </w:rPr>
        <w:t xml:space="preserve">В соответствии с бюджетной политикой РФ на 2020-2022 годы </w:t>
      </w:r>
      <w:r w:rsidRPr="00B42E6C">
        <w:rPr>
          <w:rFonts w:ascii="Times New Roman" w:hAnsi="Times New Roman"/>
          <w:sz w:val="24"/>
          <w:szCs w:val="24"/>
        </w:rPr>
        <w:t xml:space="preserve">формирование структуры расходов федерального бюджета на 2020 - 2022 годы осуществляется в соответствии с приоритетом достижения национальных целей развития на период до 2024 года, а также задач, поставленных Президентом Российской Федерации Федеральному Собранию. В целях формирования комплекса конкретных мер по повышению эффективности деятельности органов государственной власти Правительством Российской Федерации в январе 2019 года утверждена </w:t>
      </w:r>
      <w:r w:rsidRPr="00667F4F">
        <w:rPr>
          <w:rFonts w:ascii="Times New Roman" w:hAnsi="Times New Roman"/>
          <w:sz w:val="24"/>
          <w:szCs w:val="24"/>
          <w:u w:val="single"/>
        </w:rPr>
        <w:t>Концепция повышения эффективности бюджетных расходов в 2019 - 2024 годах</w:t>
      </w:r>
      <w:r w:rsidRPr="00B42E6C">
        <w:rPr>
          <w:rFonts w:ascii="Times New Roman" w:hAnsi="Times New Roman"/>
          <w:sz w:val="24"/>
          <w:szCs w:val="24"/>
        </w:rPr>
        <w:t xml:space="preserve"> (Распоряжение Правительства РФ от 31.01.2019 № 117-р).</w:t>
      </w:r>
    </w:p>
    <w:p w:rsidR="001E4617" w:rsidRPr="00B42E6C" w:rsidRDefault="001E4617" w:rsidP="00B42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2E6C">
        <w:rPr>
          <w:rFonts w:ascii="Times New Roman" w:hAnsi="Times New Roman"/>
          <w:sz w:val="24"/>
          <w:szCs w:val="24"/>
        </w:rPr>
        <w:t xml:space="preserve">Одной из ключевых задач по достижению национальных целей развития определена </w:t>
      </w:r>
      <w:r w:rsidRPr="00E91B78">
        <w:rPr>
          <w:rFonts w:ascii="Times New Roman" w:hAnsi="Times New Roman"/>
          <w:sz w:val="24"/>
          <w:szCs w:val="24"/>
        </w:rPr>
        <w:t>инвентаризация мероприятий государственных программ на предмет их вклада в достижение национальных целей развития.</w:t>
      </w:r>
      <w:r>
        <w:rPr>
          <w:rFonts w:ascii="Times New Roman" w:hAnsi="Times New Roman"/>
          <w:sz w:val="24"/>
          <w:szCs w:val="24"/>
        </w:rPr>
        <w:t xml:space="preserve"> Ц</w:t>
      </w:r>
      <w:r w:rsidRPr="00B42E6C">
        <w:rPr>
          <w:rFonts w:ascii="Times New Roman" w:hAnsi="Times New Roman"/>
          <w:sz w:val="24"/>
          <w:szCs w:val="24"/>
        </w:rPr>
        <w:t>елевые показатели государственных программ будут дополнены факторами достижения национальных целей развития (в соответствии с Единым планом по достижению национальных целей развития на период до 2024 года) и показателями национальных и федеральных проектов.</w:t>
      </w:r>
    </w:p>
    <w:p w:rsidR="001E4617" w:rsidRDefault="001E4617" w:rsidP="00B03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617" w:rsidRPr="00B42E6C" w:rsidRDefault="001E4617" w:rsidP="00B03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2E6C">
        <w:rPr>
          <w:rFonts w:ascii="Times New Roman" w:hAnsi="Times New Roman"/>
          <w:sz w:val="24"/>
          <w:szCs w:val="24"/>
        </w:rPr>
        <w:t xml:space="preserve">В основных направлениях бюджетной политики Томской области на 2020 год и плановый период 2021 и 2022 годов указано на ее разработку с учетом основных направлений бюджетной, налоговой и таможенно-тарифной политики </w:t>
      </w:r>
      <w:r w:rsidRPr="0080050F">
        <w:rPr>
          <w:rFonts w:ascii="Times New Roman" w:hAnsi="Times New Roman"/>
          <w:sz w:val="24"/>
          <w:szCs w:val="24"/>
          <w:u w:val="single"/>
        </w:rPr>
        <w:t>на 2019 год и на плановый период 2020 и 2021 годов Российской Федерации</w:t>
      </w:r>
      <w:r w:rsidRPr="00B42E6C">
        <w:rPr>
          <w:rFonts w:ascii="Times New Roman" w:hAnsi="Times New Roman"/>
          <w:b/>
          <w:sz w:val="24"/>
          <w:szCs w:val="24"/>
        </w:rPr>
        <w:t xml:space="preserve">, </w:t>
      </w:r>
      <w:r w:rsidRPr="00B42E6C">
        <w:rPr>
          <w:rFonts w:ascii="Times New Roman" w:hAnsi="Times New Roman"/>
          <w:sz w:val="24"/>
          <w:szCs w:val="24"/>
        </w:rPr>
        <w:t>что ставит под сомнение ее преемственность положениям бюджетной политики федерального уровня на 2020-2022 годы</w:t>
      </w:r>
      <w:r w:rsidRPr="00B0387E">
        <w:rPr>
          <w:rFonts w:ascii="Times New Roman" w:hAnsi="Times New Roman"/>
          <w:sz w:val="24"/>
          <w:szCs w:val="24"/>
        </w:rPr>
        <w:t>, которая</w:t>
      </w:r>
      <w:r>
        <w:rPr>
          <w:rFonts w:ascii="Times New Roman" w:hAnsi="Times New Roman"/>
          <w:sz w:val="24"/>
          <w:szCs w:val="24"/>
        </w:rPr>
        <w:t xml:space="preserve">, несмотря на опубликование позднее, максимально повторяет позиции, утвержденные в </w:t>
      </w:r>
      <w:r w:rsidRPr="00B42E6C">
        <w:rPr>
          <w:rFonts w:ascii="Times New Roman" w:hAnsi="Times New Roman"/>
          <w:sz w:val="24"/>
          <w:szCs w:val="24"/>
        </w:rPr>
        <w:t>Концепци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B42E6C">
        <w:rPr>
          <w:rFonts w:ascii="Times New Roman" w:hAnsi="Times New Roman"/>
          <w:sz w:val="24"/>
          <w:szCs w:val="24"/>
        </w:rPr>
        <w:t xml:space="preserve">повышения эффективности бюджетных расходов в 2019 - 2024 годах (Распоряжение Правительства РФ от </w:t>
      </w:r>
      <w:r w:rsidRPr="00B42E6C">
        <w:rPr>
          <w:rFonts w:ascii="Times New Roman" w:hAnsi="Times New Roman"/>
          <w:sz w:val="24"/>
          <w:szCs w:val="24"/>
          <w:u w:val="single"/>
        </w:rPr>
        <w:t>31.01.2019</w:t>
      </w:r>
      <w:r w:rsidRPr="00B42E6C">
        <w:rPr>
          <w:rFonts w:ascii="Times New Roman" w:hAnsi="Times New Roman"/>
          <w:sz w:val="24"/>
          <w:szCs w:val="24"/>
        </w:rPr>
        <w:t xml:space="preserve"> № 117-р).</w:t>
      </w:r>
    </w:p>
    <w:p w:rsidR="001E4617" w:rsidRPr="00B42E6C" w:rsidRDefault="001E4617" w:rsidP="00B42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617" w:rsidRPr="00B42E6C" w:rsidRDefault="001E4617" w:rsidP="00B42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A05">
        <w:rPr>
          <w:rFonts w:ascii="Times New Roman" w:hAnsi="Times New Roman"/>
          <w:sz w:val="24"/>
          <w:szCs w:val="24"/>
        </w:rPr>
        <w:t xml:space="preserve">Анализом решения в 2018 году </w:t>
      </w:r>
      <w:r w:rsidRPr="00B42E6C">
        <w:rPr>
          <w:rFonts w:ascii="Times New Roman" w:hAnsi="Times New Roman"/>
          <w:sz w:val="24"/>
          <w:szCs w:val="24"/>
        </w:rPr>
        <w:t xml:space="preserve">задачи </w:t>
      </w:r>
      <w:r w:rsidRPr="00B42E6C">
        <w:rPr>
          <w:rFonts w:ascii="Times New Roman" w:hAnsi="Times New Roman"/>
          <w:b/>
          <w:sz w:val="24"/>
          <w:szCs w:val="24"/>
        </w:rPr>
        <w:t>по повышению качества и эффективности реализации государственных программ Томской области, в том числе за счет применения проектных принципов управления</w:t>
      </w:r>
      <w:r>
        <w:rPr>
          <w:rFonts w:ascii="Times New Roman" w:hAnsi="Times New Roman"/>
          <w:b/>
          <w:sz w:val="24"/>
          <w:szCs w:val="24"/>
        </w:rPr>
        <w:t>,</w:t>
      </w:r>
      <w:r w:rsidRPr="00B42E6C">
        <w:rPr>
          <w:rFonts w:ascii="Times New Roman" w:hAnsi="Times New Roman"/>
          <w:b/>
          <w:sz w:val="24"/>
          <w:szCs w:val="24"/>
        </w:rPr>
        <w:t xml:space="preserve"> </w:t>
      </w:r>
      <w:r w:rsidRPr="00B42E6C">
        <w:rPr>
          <w:rFonts w:ascii="Times New Roman" w:hAnsi="Times New Roman"/>
          <w:sz w:val="24"/>
          <w:szCs w:val="24"/>
        </w:rPr>
        <w:t>подтверждаем реализацию следующих мер, в т.ч.:</w:t>
      </w:r>
    </w:p>
    <w:p w:rsidR="001E4617" w:rsidRPr="00B42E6C" w:rsidRDefault="001E4617" w:rsidP="00B42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2E6C">
        <w:rPr>
          <w:rFonts w:ascii="Times New Roman" w:hAnsi="Times New Roman"/>
          <w:sz w:val="24"/>
          <w:szCs w:val="24"/>
        </w:rPr>
        <w:t xml:space="preserve">1. Для каждой государственной программы Томской области был разработан и утвержден детальный план-график ее реализации, в котором для каждого основного мероприятия установлены контрольные события, увязанные с объемами финансирования, с </w:t>
      </w:r>
      <w:r w:rsidRPr="00B42E6C">
        <w:rPr>
          <w:rFonts w:ascii="Times New Roman" w:hAnsi="Times New Roman"/>
          <w:sz w:val="24"/>
          <w:szCs w:val="24"/>
        </w:rPr>
        <w:lastRenderedPageBreak/>
        <w:t>указанием даты их наступления. Данные планы-графики позволили обеспечить надлежащий контроль за своевременностью выполнения мероприятий государственных программ Томской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1E4617" w:rsidRPr="00B42E6C" w:rsidRDefault="001E4617" w:rsidP="00B42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2E6C">
        <w:rPr>
          <w:rFonts w:ascii="Times New Roman" w:hAnsi="Times New Roman"/>
          <w:sz w:val="24"/>
          <w:szCs w:val="24"/>
        </w:rPr>
        <w:t>2. В апреле 2018 года утвержден новый Порядок оценки эффективности реализации государственных программ Томской области в целях повышения ее качества и объективности, а также повышения эффективности межведомственного взаимодействия при осуществлении анализа результатов данной оценки и принятия управленческих решений по дальнейшей реализации государственных программ</w:t>
      </w:r>
      <w:r>
        <w:rPr>
          <w:rFonts w:ascii="Times New Roman" w:hAnsi="Times New Roman"/>
          <w:sz w:val="24"/>
          <w:szCs w:val="24"/>
        </w:rPr>
        <w:t xml:space="preserve"> по итогам проведенного анализа.</w:t>
      </w:r>
    </w:p>
    <w:p w:rsidR="001E4617" w:rsidRPr="00B42E6C" w:rsidRDefault="001E4617" w:rsidP="00B42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2E6C">
        <w:rPr>
          <w:rFonts w:ascii="Times New Roman" w:hAnsi="Times New Roman"/>
          <w:sz w:val="24"/>
          <w:szCs w:val="24"/>
        </w:rPr>
        <w:t>3. В соответствии с новым Порядком в целях выявления недостатков в бюджетном планировании, в том числе завышения бюджетных расходов, с 2018 года анализируются не только причины, оказавшие влияние на признание мероприятий государственных программ неэффективными или низкоэффективными, но и причины превышения фактических значений показателей государственных программ Томской области более чем на 10 процентов над плановыми значениями (при отсутствии увеличения фактического объема финансирования), а также причины неосвоения средств областного бюджета менее чем на 50 процентов от планового объема, предусмотренного на реализацию конкретных мероприятий государственных программ Томской области при отсутствии введения ограничений кассовых выплат в теч</w:t>
      </w:r>
      <w:r>
        <w:rPr>
          <w:rFonts w:ascii="Times New Roman" w:hAnsi="Times New Roman"/>
          <w:sz w:val="24"/>
          <w:szCs w:val="24"/>
        </w:rPr>
        <w:t>ение отчетного финансового года.</w:t>
      </w:r>
    </w:p>
    <w:p w:rsidR="001E4617" w:rsidRPr="00B42E6C" w:rsidRDefault="001E4617" w:rsidP="00B42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2E6C">
        <w:rPr>
          <w:rFonts w:ascii="Times New Roman" w:hAnsi="Times New Roman"/>
          <w:sz w:val="24"/>
          <w:szCs w:val="24"/>
        </w:rPr>
        <w:t>4. В 2018 году в рамках выполнения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при формировании областного бюджета на 2019 год и на плановый период 2020 и 2021 годов все региональные проекты, утвержденные в целях реализации национальных проектов, были включены в состав государственных программ Томской области.</w:t>
      </w:r>
    </w:p>
    <w:p w:rsidR="001E4617" w:rsidRPr="00B42E6C" w:rsidRDefault="001E4617" w:rsidP="00B42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642">
        <w:rPr>
          <w:rFonts w:ascii="Times New Roman" w:hAnsi="Times New Roman"/>
          <w:bCs/>
          <w:sz w:val="24"/>
          <w:szCs w:val="24"/>
        </w:rPr>
        <w:t xml:space="preserve">Обращает на себя внимание то, что из всех указанных мер </w:t>
      </w:r>
      <w:r w:rsidRPr="00341642">
        <w:rPr>
          <w:rFonts w:ascii="Times New Roman" w:hAnsi="Times New Roman"/>
          <w:sz w:val="24"/>
          <w:szCs w:val="24"/>
        </w:rPr>
        <w:t>при формировании областного бюджета на 2019 год и на плановый период 2020 и 2021 годов только включение всех региональных проектов в состав государственных программ Томской области соответствовало подготовительной работе федерального уровня по достижению национальных целей развития. Мнение Контрольно-счетной палаты о недостаточности  других указанных мер было отражено в</w:t>
      </w:r>
      <w:r w:rsidRPr="00B42E6C">
        <w:rPr>
          <w:rFonts w:ascii="Times New Roman" w:hAnsi="Times New Roman"/>
          <w:sz w:val="24"/>
          <w:szCs w:val="24"/>
        </w:rPr>
        <w:t xml:space="preserve"> Заключении на отчет Администрации Томской области об исполнении областного бюджета за 2018 год.</w:t>
      </w:r>
    </w:p>
    <w:p w:rsidR="001E4617" w:rsidRPr="00B42E6C" w:rsidRDefault="001E4617" w:rsidP="00B42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E6C">
        <w:rPr>
          <w:rFonts w:ascii="Times New Roman" w:hAnsi="Times New Roman"/>
          <w:bCs/>
          <w:sz w:val="24"/>
          <w:szCs w:val="24"/>
          <w:lang w:eastAsia="ru-RU"/>
        </w:rPr>
        <w:t>Так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B42E6C">
        <w:rPr>
          <w:rFonts w:ascii="Times New Roman" w:hAnsi="Times New Roman"/>
          <w:bCs/>
          <w:sz w:val="24"/>
          <w:szCs w:val="24"/>
          <w:lang w:eastAsia="ru-RU"/>
        </w:rPr>
        <w:t xml:space="preserve"> по разработке и утверждению д</w:t>
      </w:r>
      <w:r w:rsidRPr="00B42E6C">
        <w:rPr>
          <w:rFonts w:ascii="Times New Roman" w:hAnsi="Times New Roman"/>
          <w:sz w:val="24"/>
          <w:szCs w:val="24"/>
        </w:rPr>
        <w:t>ля каждой государственной программы Томской области детального плана-графика ее реализации указывалось, что в действительности мера была направлена на устранение нормативного пробела</w:t>
      </w:r>
      <w:r w:rsidRPr="00B42E6C">
        <w:rPr>
          <w:rFonts w:ascii="Times New Roman" w:hAnsi="Times New Roman"/>
          <w:iCs/>
          <w:sz w:val="24"/>
          <w:szCs w:val="24"/>
        </w:rPr>
        <w:t xml:space="preserve"> в части отсутствия положений по </w:t>
      </w:r>
      <w:r w:rsidRPr="00B42E6C">
        <w:rPr>
          <w:rFonts w:ascii="Times New Roman" w:hAnsi="Times New Roman"/>
          <w:sz w:val="24"/>
          <w:szCs w:val="24"/>
        </w:rPr>
        <w:t xml:space="preserve">разработке детального плана-графика реализации государственной программы, допущенного при разработке Порядка </w:t>
      </w:r>
      <w:r w:rsidRPr="00B42E6C">
        <w:rPr>
          <w:rFonts w:ascii="Times New Roman" w:hAnsi="Times New Roman"/>
          <w:iCs/>
          <w:sz w:val="24"/>
          <w:szCs w:val="24"/>
        </w:rPr>
        <w:t>принятия решений о разработке государственных программ Томской области, их формирования и реализации и о внесении изменения в постановление Администрации Томской области от 22.06.2012 № 237а (утвержден постановлением Администрации Томской области от 03.04.2014 № 119а)</w:t>
      </w:r>
      <w:r w:rsidRPr="00B42E6C">
        <w:rPr>
          <w:rFonts w:ascii="Times New Roman" w:hAnsi="Times New Roman"/>
          <w:sz w:val="24"/>
          <w:szCs w:val="24"/>
        </w:rPr>
        <w:t>.</w:t>
      </w:r>
    </w:p>
    <w:p w:rsidR="001E4617" w:rsidRPr="00B42E6C" w:rsidRDefault="001E4617" w:rsidP="00B42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E6C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B42E6C">
        <w:rPr>
          <w:rFonts w:ascii="Times New Roman" w:hAnsi="Times New Roman"/>
          <w:sz w:val="24"/>
          <w:szCs w:val="24"/>
        </w:rPr>
        <w:t xml:space="preserve">утверждением в апреле 2018 года нового Порядка оценки эффективности реализации государственных программ Томской области (постановление Администрации Томской области от </w:t>
      </w:r>
      <w:r w:rsidRPr="00151EF0">
        <w:rPr>
          <w:rFonts w:ascii="Times New Roman" w:hAnsi="Times New Roman"/>
          <w:sz w:val="24"/>
          <w:szCs w:val="24"/>
          <w:u w:val="single"/>
        </w:rPr>
        <w:t>04.04.2018</w:t>
      </w:r>
      <w:r w:rsidRPr="00B42E6C">
        <w:rPr>
          <w:rFonts w:ascii="Times New Roman" w:hAnsi="Times New Roman"/>
          <w:sz w:val="24"/>
          <w:szCs w:val="24"/>
        </w:rPr>
        <w:t xml:space="preserve"> № 151а) вместо запланированного</w:t>
      </w:r>
      <w:r w:rsidRPr="00B42E6C">
        <w:rPr>
          <w:rFonts w:ascii="Times New Roman" w:hAnsi="Times New Roman"/>
          <w:sz w:val="24"/>
          <w:szCs w:val="24"/>
          <w:lang w:eastAsia="ru-RU"/>
        </w:rPr>
        <w:t xml:space="preserve"> бюджетной политикой</w:t>
      </w:r>
      <w:r w:rsidRPr="00B42E6C">
        <w:rPr>
          <w:rFonts w:ascii="Times New Roman" w:hAnsi="Times New Roman"/>
          <w:sz w:val="24"/>
          <w:szCs w:val="24"/>
        </w:rPr>
        <w:t xml:space="preserve"> </w:t>
      </w:r>
      <w:r w:rsidRPr="00B42E6C">
        <w:rPr>
          <w:rFonts w:ascii="Times New Roman" w:hAnsi="Times New Roman"/>
          <w:sz w:val="24"/>
          <w:szCs w:val="24"/>
          <w:lang w:eastAsia="ru-RU"/>
        </w:rPr>
        <w:t xml:space="preserve">совершенствования критериев, используемых для оценки эффективности государственных программ Томской области, установленных ранее утвержденным Порядком проведения оценки эффективности реализации государственных программ Томской области (постановление Администрации Томской области от </w:t>
      </w:r>
      <w:r w:rsidRPr="00151EF0">
        <w:rPr>
          <w:rFonts w:ascii="Times New Roman" w:hAnsi="Times New Roman"/>
          <w:sz w:val="24"/>
          <w:szCs w:val="24"/>
          <w:u w:val="single"/>
          <w:lang w:eastAsia="ru-RU"/>
        </w:rPr>
        <w:t>05.05.2015</w:t>
      </w:r>
      <w:r w:rsidRPr="00B42E6C">
        <w:rPr>
          <w:rFonts w:ascii="Times New Roman" w:hAnsi="Times New Roman"/>
          <w:sz w:val="24"/>
          <w:szCs w:val="24"/>
          <w:lang w:eastAsia="ru-RU"/>
        </w:rPr>
        <w:t xml:space="preserve"> № 151а), на основе которого произведена оценка эффективности реализации госпрограмм по итогам 2015, 2016 и 2017 годов, указывалось, что не </w:t>
      </w:r>
      <w:r w:rsidRPr="00B42E6C">
        <w:rPr>
          <w:rFonts w:ascii="Times New Roman" w:hAnsi="Times New Roman"/>
          <w:sz w:val="24"/>
          <w:szCs w:val="24"/>
        </w:rPr>
        <w:t>устранен основной недостаток обоих нормативных документов – отсутствие процедур по оценке эффективности мероприятий государственных программ Томской области и разрабатываемых на ее основе предложений по повышению их эффективности.</w:t>
      </w:r>
    </w:p>
    <w:p w:rsidR="001E4617" w:rsidRPr="00B42E6C" w:rsidRDefault="001E4617" w:rsidP="00B42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E4617" w:rsidRPr="00B42E6C" w:rsidRDefault="001E4617" w:rsidP="00B42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2E6C">
        <w:rPr>
          <w:rFonts w:ascii="Times New Roman" w:hAnsi="Times New Roman"/>
          <w:b/>
          <w:sz w:val="24"/>
          <w:szCs w:val="24"/>
        </w:rPr>
        <w:t>К числу ожидаемых итогов реализации бюджетной политики Томской области в 2019 году</w:t>
      </w:r>
      <w:r w:rsidRPr="00B42E6C">
        <w:rPr>
          <w:rFonts w:ascii="Times New Roman" w:hAnsi="Times New Roman"/>
          <w:sz w:val="24"/>
          <w:szCs w:val="24"/>
        </w:rPr>
        <w:t xml:space="preserve"> в рамках решения задачи по реализации</w:t>
      </w:r>
      <w:r w:rsidRPr="00B42E6C">
        <w:rPr>
          <w:rFonts w:ascii="Times New Roman" w:hAnsi="Times New Roman"/>
          <w:bCs/>
          <w:sz w:val="24"/>
          <w:szCs w:val="24"/>
        </w:rPr>
        <w:t xml:space="preserve"> Указа Президента Российской Федерации от </w:t>
      </w:r>
      <w:r w:rsidRPr="00B42E6C">
        <w:rPr>
          <w:rFonts w:ascii="Times New Roman" w:hAnsi="Times New Roman"/>
          <w:bCs/>
          <w:sz w:val="24"/>
          <w:szCs w:val="24"/>
        </w:rPr>
        <w:lastRenderedPageBreak/>
        <w:t>07.05.2018 № 204 «О национальных целях и стратегических задачах развития Российской Федерации на период до 2024 года» отнесено участие Томской области в реализации всех 12 национальных проектов, утвержденных на федеральном уровне. В рамках данных национальных проектов в Томской области в 2019 году утверждены и реализуются 56 региональных проектов, из которых 36 региональных проектов, входящих в состав 10 национальных проектов, финансируются за счет бюджетных средств. По 26 региональным проектам привлечены средства федерального бюджета.</w:t>
      </w:r>
    </w:p>
    <w:p w:rsidR="001E4617" w:rsidRPr="00B42E6C" w:rsidRDefault="001E4617" w:rsidP="00B42E6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2E6C">
        <w:rPr>
          <w:rFonts w:ascii="Times New Roman" w:hAnsi="Times New Roman"/>
          <w:bCs/>
          <w:sz w:val="24"/>
          <w:szCs w:val="24"/>
          <w:lang w:eastAsia="ru-RU"/>
        </w:rPr>
        <w:t>Общий объем бюджетного финансирования региональных проектов в 2019 году по состоянию на 01.09.2019 составляет 9,6 млрд. рублей, из которых около 6,2 млрд. рублей – средства федерального бюджета, около 3 млрд. рублей – средства областного бюджета, свыше 0,4 млрд. рублей – средства местных бюджетов.</w:t>
      </w:r>
    </w:p>
    <w:p w:rsidR="001E4617" w:rsidRPr="00B42E6C" w:rsidRDefault="001E4617" w:rsidP="00B42E6C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E6C">
        <w:rPr>
          <w:rFonts w:ascii="Times New Roman" w:hAnsi="Times New Roman"/>
          <w:sz w:val="24"/>
          <w:szCs w:val="24"/>
          <w:lang w:eastAsia="ru-RU"/>
        </w:rPr>
        <w:t>В рамках решения задачи по совершенствованию бюджетных процедур в целях повышения эффективности планирования и расходования средств областного бюджета осуществлено в т.ч</w:t>
      </w:r>
      <w:r w:rsidRPr="002D4F35">
        <w:rPr>
          <w:rFonts w:ascii="Times New Roman" w:hAnsi="Times New Roman"/>
          <w:sz w:val="24"/>
          <w:szCs w:val="24"/>
          <w:lang w:eastAsia="ru-RU"/>
        </w:rPr>
        <w:t>. совершенствование нормативной правовой базы</w:t>
      </w:r>
      <w:r w:rsidRPr="00B42E6C">
        <w:rPr>
          <w:rFonts w:ascii="Times New Roman" w:hAnsi="Times New Roman"/>
          <w:sz w:val="24"/>
          <w:szCs w:val="24"/>
          <w:lang w:eastAsia="ru-RU"/>
        </w:rPr>
        <w:t xml:space="preserve"> Томской области в целях обеспечения </w:t>
      </w:r>
      <w:r w:rsidRPr="002D4F35">
        <w:rPr>
          <w:rFonts w:ascii="Times New Roman" w:hAnsi="Times New Roman"/>
          <w:sz w:val="24"/>
          <w:szCs w:val="24"/>
          <w:u w:val="single"/>
          <w:lang w:eastAsia="ru-RU"/>
        </w:rPr>
        <w:t>встраивания региональных проектов в бюджетный процесс Томской области</w:t>
      </w:r>
      <w:r w:rsidRPr="00B42E6C">
        <w:rPr>
          <w:rFonts w:ascii="Times New Roman" w:hAnsi="Times New Roman"/>
          <w:sz w:val="24"/>
          <w:szCs w:val="24"/>
          <w:lang w:eastAsia="ru-RU"/>
        </w:rPr>
        <w:t>. Из-за сжатых сроков подготовки к началу реализации национальных проектов на территории региона с 2019 года, встраивание региональных проектов в государственные программы Томской области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B42E6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как указано в пояснительной записке, </w:t>
      </w:r>
      <w:r w:rsidRPr="00B42E6C">
        <w:rPr>
          <w:rFonts w:ascii="Times New Roman" w:hAnsi="Times New Roman"/>
          <w:sz w:val="24"/>
          <w:szCs w:val="24"/>
          <w:lang w:eastAsia="ru-RU"/>
        </w:rPr>
        <w:t xml:space="preserve">носило в основном формальный характер. В течение первой половины 2019 года разрабатывались принципиально новые подходы к формированию государственных программ Томской области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исходя из </w:t>
      </w:r>
      <w:r w:rsidRPr="00B42E6C">
        <w:rPr>
          <w:rFonts w:ascii="Times New Roman" w:hAnsi="Times New Roman"/>
          <w:sz w:val="24"/>
          <w:szCs w:val="24"/>
          <w:lang w:eastAsia="ru-RU"/>
        </w:rPr>
        <w:t>необходимости учета специфики региональных проектов. Разработан новый Порядок принятия решений о разработк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B42E6C">
        <w:rPr>
          <w:rFonts w:ascii="Times New Roman" w:hAnsi="Times New Roman"/>
          <w:sz w:val="24"/>
          <w:szCs w:val="24"/>
          <w:lang w:eastAsia="ru-RU"/>
        </w:rPr>
        <w:t xml:space="preserve"> государственных программ Томской области, их формирования и реализации, которым существенно изменена структура государственной программы (утвержден постановлением Администрации Томской области от 05.09.2019 № 313а) (далее – Новый Порядок № 313а). Если раньше государственные программы состояли исключительно из подпрограмм, в состав которых входили основные мероприятия и ведомственные целевые программы, и обеспечивающей подпрограммы, то по новой структуре государственная программа состоит из процессной части, по-прежнему включающей в себя подпрограммы, состоящие из основных мероприятий и ведомственных целевых программ, и обеспечивающей подпрограммы, а также из проектной части, в состав которой входят региональные проекты. Руководители региональных проектов стали полноправными участниками процесса формирования и реализации государственных программ Томской области. </w:t>
      </w:r>
    </w:p>
    <w:p w:rsidR="001E4617" w:rsidRPr="00B42E6C" w:rsidRDefault="001E4617" w:rsidP="00B42E6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E6C">
        <w:rPr>
          <w:rFonts w:ascii="Times New Roman" w:hAnsi="Times New Roman"/>
          <w:sz w:val="24"/>
          <w:szCs w:val="24"/>
          <w:lang w:eastAsia="ru-RU"/>
        </w:rPr>
        <w:t xml:space="preserve">В целях полномасштабного внедрения данных подходов было решено с 2020 года разработать и утвердить новые государственные программы Томской области, перечень которых утвержден распоряжением Администрации Томской области от 30.04.2019 № 310-ра </w:t>
      </w:r>
      <w:r w:rsidRPr="00B42E6C">
        <w:rPr>
          <w:rFonts w:ascii="Times New Roman" w:hAnsi="Times New Roman"/>
          <w:bCs/>
          <w:sz w:val="24"/>
          <w:szCs w:val="24"/>
          <w:lang w:eastAsia="ru-RU"/>
        </w:rPr>
        <w:t>(далее - новый Перечень ГП)</w:t>
      </w:r>
      <w:r w:rsidRPr="00B42E6C">
        <w:rPr>
          <w:rFonts w:ascii="Times New Roman" w:hAnsi="Times New Roman"/>
          <w:sz w:val="24"/>
          <w:szCs w:val="24"/>
          <w:lang w:eastAsia="ru-RU"/>
        </w:rPr>
        <w:t xml:space="preserve">. В данном перечне содержится 21 государственная программа Томской области, срок реализации </w:t>
      </w:r>
      <w:r w:rsidRPr="00087F78">
        <w:rPr>
          <w:rFonts w:ascii="Times New Roman" w:hAnsi="Times New Roman"/>
          <w:sz w:val="24"/>
          <w:szCs w:val="24"/>
          <w:lang w:eastAsia="ru-RU"/>
        </w:rPr>
        <w:t xml:space="preserve">которых </w:t>
      </w:r>
      <w:r w:rsidR="00087F78" w:rsidRPr="00087F78">
        <w:rPr>
          <w:rFonts w:ascii="Times New Roman" w:hAnsi="Times New Roman"/>
          <w:sz w:val="24"/>
          <w:szCs w:val="24"/>
          <w:lang w:eastAsia="ru-RU"/>
        </w:rPr>
        <w:t>составляет 5 лет</w:t>
      </w:r>
      <w:r w:rsidR="00087F78" w:rsidRPr="00B42E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E6C">
        <w:rPr>
          <w:rFonts w:ascii="Times New Roman" w:hAnsi="Times New Roman"/>
          <w:sz w:val="24"/>
          <w:szCs w:val="24"/>
          <w:lang w:eastAsia="ru-RU"/>
        </w:rPr>
        <w:t>с 2020 по 2024 год с прогнозом до 2026 года (сроки реализации увязаны со сроками реализации национальных проектов).</w:t>
      </w:r>
    </w:p>
    <w:p w:rsidR="001E4617" w:rsidRPr="00B42E6C" w:rsidRDefault="001E4617" w:rsidP="00B42E6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E6C">
        <w:rPr>
          <w:rFonts w:ascii="Times New Roman" w:hAnsi="Times New Roman"/>
          <w:sz w:val="24"/>
          <w:szCs w:val="24"/>
          <w:lang w:eastAsia="ru-RU"/>
        </w:rPr>
        <w:t>До октября текущего года осуществлялась разработка, согласование и утверждение новых государственных программ Томской области, которые нашли свое отражение в проекте закона об областном бюджете на 2020 год и на плановый период 2021 и 2022 годов.</w:t>
      </w:r>
    </w:p>
    <w:p w:rsidR="001E4617" w:rsidRPr="00B42E6C" w:rsidRDefault="001E4617" w:rsidP="00B42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1DA9">
        <w:rPr>
          <w:rFonts w:ascii="Times New Roman" w:hAnsi="Times New Roman"/>
          <w:bCs/>
          <w:sz w:val="24"/>
          <w:szCs w:val="24"/>
        </w:rPr>
        <w:t>Для достижения цели бюджетной политики Томской области на 2020-2022 годы</w:t>
      </w:r>
      <w:r w:rsidRPr="00B42E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2E6C">
        <w:rPr>
          <w:rFonts w:ascii="Times New Roman" w:hAnsi="Times New Roman"/>
          <w:bCs/>
          <w:sz w:val="24"/>
          <w:szCs w:val="24"/>
        </w:rPr>
        <w:t>запланировано решение в т.ч. задачи по продолжению участия Томской области в реализации национальных проектов в рамках</w:t>
      </w:r>
      <w:r w:rsidRPr="00B42E6C">
        <w:rPr>
          <w:rFonts w:ascii="Times New Roman" w:hAnsi="Times New Roman"/>
          <w:sz w:val="24"/>
          <w:szCs w:val="24"/>
        </w:rPr>
        <w:t xml:space="preserve">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года», в </w:t>
      </w:r>
      <w:r>
        <w:rPr>
          <w:rFonts w:ascii="Times New Roman" w:hAnsi="Times New Roman"/>
          <w:sz w:val="24"/>
          <w:szCs w:val="24"/>
        </w:rPr>
        <w:t xml:space="preserve">соответствии с </w:t>
      </w:r>
      <w:r w:rsidRPr="00B42E6C">
        <w:rPr>
          <w:rFonts w:ascii="Times New Roman" w:hAnsi="Times New Roman"/>
          <w:sz w:val="24"/>
          <w:szCs w:val="24"/>
        </w:rPr>
        <w:t xml:space="preserve">которой основное внимание в 2020 году планируется сосредоточить </w:t>
      </w:r>
      <w:r w:rsidRPr="00B42E6C">
        <w:rPr>
          <w:rFonts w:ascii="Times New Roman" w:hAnsi="Times New Roman"/>
          <w:b/>
          <w:sz w:val="24"/>
          <w:szCs w:val="24"/>
        </w:rPr>
        <w:t>на повышении качества управления региональными проектами, обеспечении надлежащего контроля за своевременностью и полнотой достижения заявленных результатов, эффективностью освоения бюджетных средств</w:t>
      </w:r>
      <w:r w:rsidRPr="00B42E6C">
        <w:rPr>
          <w:rFonts w:ascii="Times New Roman" w:hAnsi="Times New Roman"/>
          <w:sz w:val="24"/>
          <w:szCs w:val="24"/>
        </w:rPr>
        <w:t>.</w:t>
      </w:r>
    </w:p>
    <w:p w:rsidR="00B7462D" w:rsidRPr="00A203EB" w:rsidRDefault="00B7462D" w:rsidP="00B74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03EB">
        <w:rPr>
          <w:rFonts w:ascii="Times New Roman" w:hAnsi="Times New Roman"/>
          <w:sz w:val="24"/>
          <w:szCs w:val="24"/>
        </w:rPr>
        <w:t xml:space="preserve">Обращает на себя внимание </w:t>
      </w:r>
      <w:r w:rsidRPr="00B7462D">
        <w:rPr>
          <w:rFonts w:ascii="Times New Roman" w:hAnsi="Times New Roman"/>
          <w:bCs/>
          <w:sz w:val="24"/>
          <w:szCs w:val="24"/>
        </w:rPr>
        <w:t>несогласованность процессов регионального уровня по</w:t>
      </w:r>
      <w:r w:rsidRPr="00A203EB">
        <w:rPr>
          <w:rFonts w:ascii="Times New Roman" w:hAnsi="Times New Roman"/>
          <w:bCs/>
          <w:sz w:val="24"/>
          <w:szCs w:val="24"/>
        </w:rPr>
        <w:t xml:space="preserve"> дальнейшему развитию системы проектного управления на 2020-2022 годы с плановой работой федерального уровня, в связи с чем считаем необходимой доработку</w:t>
      </w:r>
      <w:r w:rsidRPr="00A203EB">
        <w:rPr>
          <w:rFonts w:ascii="Times New Roman" w:hAnsi="Times New Roman"/>
          <w:sz w:val="24"/>
          <w:szCs w:val="24"/>
        </w:rPr>
        <w:t xml:space="preserve"> мер </w:t>
      </w:r>
      <w:r w:rsidRPr="00A203EB">
        <w:rPr>
          <w:rFonts w:ascii="Times New Roman" w:hAnsi="Times New Roman"/>
          <w:bCs/>
          <w:sz w:val="24"/>
          <w:szCs w:val="24"/>
        </w:rPr>
        <w:t>бюджетной политики Томской области на 2020-2022 годы.</w:t>
      </w:r>
    </w:p>
    <w:p w:rsidR="001E4617" w:rsidRPr="008A1721" w:rsidRDefault="001E4617" w:rsidP="00A20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1721">
        <w:rPr>
          <w:rFonts w:ascii="Times New Roman" w:hAnsi="Times New Roman"/>
          <w:bCs/>
          <w:sz w:val="24"/>
          <w:szCs w:val="24"/>
        </w:rPr>
        <w:lastRenderedPageBreak/>
        <w:t xml:space="preserve">Так, </w:t>
      </w:r>
      <w:r w:rsidRPr="008A1721">
        <w:rPr>
          <w:rFonts w:ascii="Times New Roman" w:hAnsi="Times New Roman"/>
          <w:sz w:val="24"/>
          <w:szCs w:val="24"/>
        </w:rPr>
        <w:t xml:space="preserve">не все из указанных </w:t>
      </w:r>
      <w:r w:rsidRPr="008A1721">
        <w:rPr>
          <w:rFonts w:ascii="Times New Roman" w:hAnsi="Times New Roman"/>
          <w:bCs/>
          <w:sz w:val="24"/>
          <w:szCs w:val="24"/>
        </w:rPr>
        <w:t>ожидаемых итогов реализации бюджетной политики Томской области в 2019 году</w:t>
      </w:r>
      <w:r w:rsidRPr="008A1721">
        <w:rPr>
          <w:rFonts w:ascii="Times New Roman" w:hAnsi="Times New Roman"/>
          <w:sz w:val="24"/>
          <w:szCs w:val="24"/>
        </w:rPr>
        <w:t xml:space="preserve"> соответствуют </w:t>
      </w:r>
      <w:r w:rsidRPr="008A1721">
        <w:rPr>
          <w:rFonts w:ascii="Times New Roman" w:hAnsi="Times New Roman"/>
          <w:bCs/>
          <w:sz w:val="24"/>
          <w:szCs w:val="24"/>
        </w:rPr>
        <w:t>подготовительной работе федерального уровня в 2018 - 1 полугодии 2019 гг. по достижению национальных целей развития.</w:t>
      </w:r>
    </w:p>
    <w:p w:rsidR="001E4617" w:rsidRPr="008A1721" w:rsidRDefault="001E4617" w:rsidP="00A20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A1721">
        <w:rPr>
          <w:rFonts w:ascii="Times New Roman" w:hAnsi="Times New Roman"/>
          <w:sz w:val="24"/>
          <w:szCs w:val="24"/>
        </w:rPr>
        <w:t xml:space="preserve"> связи с утверждением нового Порядка № 313а и нового Перечня ГП при формировании проекта бюджета не была применена наработанная практика встраивания региональных проектов в бюджетный процесс Томской области.</w:t>
      </w:r>
    </w:p>
    <w:p w:rsidR="001E4617" w:rsidRPr="008A1721" w:rsidRDefault="001E4617" w:rsidP="00A20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1721">
        <w:rPr>
          <w:rFonts w:ascii="Times New Roman" w:hAnsi="Times New Roman"/>
          <w:sz w:val="24"/>
          <w:szCs w:val="24"/>
        </w:rPr>
        <w:t>При этом механизм встраивания региональных проектов в госпрограммы Томской области, используемый в 2019 году, полностью соответствовал подходам федерального уровня по включению проектов в госпрограммы (в состав государственных программ включались основные мероприятия, направленные на реализацию региональных проектов). Программы состояли исключительно из подпрограмм, в состав которых входили основные мероприятия и ведомственные целевые программы, и обеспечивающей подпрограммы.</w:t>
      </w:r>
    </w:p>
    <w:p w:rsidR="001E4617" w:rsidRPr="008A1721" w:rsidRDefault="001E4617" w:rsidP="00A20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1721">
        <w:rPr>
          <w:rFonts w:ascii="Times New Roman" w:hAnsi="Times New Roman"/>
          <w:sz w:val="24"/>
          <w:szCs w:val="24"/>
        </w:rPr>
        <w:t xml:space="preserve">Новым Порядком № 313а изменена структура государственной программы, в соответствии с которой программа состоит из </w:t>
      </w:r>
      <w:r w:rsidRPr="008A1721">
        <w:rPr>
          <w:rFonts w:ascii="Times New Roman" w:hAnsi="Times New Roman"/>
          <w:sz w:val="24"/>
          <w:szCs w:val="24"/>
          <w:u w:val="single"/>
        </w:rPr>
        <w:t>процессной части</w:t>
      </w:r>
      <w:r w:rsidRPr="008A1721">
        <w:rPr>
          <w:rFonts w:ascii="Times New Roman" w:hAnsi="Times New Roman"/>
          <w:sz w:val="24"/>
          <w:szCs w:val="24"/>
        </w:rPr>
        <w:t xml:space="preserve">, включающей в себя подпрограммы, содержащие основные мероприятия и (или) ведомственные целевые программы, и обеспечивающую подпрограмму, а также из </w:t>
      </w:r>
      <w:r w:rsidRPr="008A1721">
        <w:rPr>
          <w:rFonts w:ascii="Times New Roman" w:hAnsi="Times New Roman"/>
          <w:sz w:val="24"/>
          <w:szCs w:val="24"/>
          <w:u w:val="single"/>
        </w:rPr>
        <w:t>проектной части</w:t>
      </w:r>
      <w:r w:rsidRPr="008A1721">
        <w:rPr>
          <w:rFonts w:ascii="Times New Roman" w:hAnsi="Times New Roman"/>
          <w:sz w:val="24"/>
          <w:szCs w:val="24"/>
        </w:rPr>
        <w:t>, в состав которой входят региональные проекты.</w:t>
      </w:r>
    </w:p>
    <w:p w:rsidR="001E4617" w:rsidRPr="008A1721" w:rsidRDefault="001E4617" w:rsidP="00A20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1721">
        <w:rPr>
          <w:rFonts w:ascii="Times New Roman" w:hAnsi="Times New Roman"/>
          <w:sz w:val="24"/>
          <w:szCs w:val="24"/>
        </w:rPr>
        <w:t xml:space="preserve">Новая структура госпрограмм Томской области с их разделением на подпрограммы и проектную часть в настоящее время не соответствует подходам федерального уровня по включению федеральных проектов в структуру государственных программ РФ. Проектная и процессная часть государственных программ РФ выделена на федеральном уровне </w:t>
      </w:r>
      <w:r w:rsidRPr="008A1721">
        <w:rPr>
          <w:rFonts w:ascii="Times New Roman" w:hAnsi="Times New Roman"/>
          <w:sz w:val="24"/>
          <w:szCs w:val="24"/>
          <w:u w:val="single"/>
        </w:rPr>
        <w:t>только</w:t>
      </w:r>
      <w:r w:rsidRPr="008A1721">
        <w:rPr>
          <w:rFonts w:ascii="Times New Roman" w:hAnsi="Times New Roman"/>
          <w:sz w:val="24"/>
          <w:szCs w:val="24"/>
        </w:rPr>
        <w:t xml:space="preserve"> в пилотных программах (5 госпрограмм РФ), утвержденных постановлением Правительства Российской Федерации от 12.10.2017 № 1242 «О разработке, реализации и об оценке эффективности отдельных государственных программ Российской Федерации». При этом и проектная и процессная часть в пилотных государственных программах РФ предусмотрены в составе подпрограмм ГП, а не отдельно от них.</w:t>
      </w:r>
    </w:p>
    <w:p w:rsidR="001E4617" w:rsidRPr="008A1721" w:rsidRDefault="001E4617" w:rsidP="00A20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1721">
        <w:rPr>
          <w:rFonts w:ascii="Times New Roman" w:hAnsi="Times New Roman"/>
          <w:sz w:val="24"/>
          <w:szCs w:val="24"/>
        </w:rPr>
        <w:t>Таким образом, на региональном уровне целесообразно выстроить логичную и понятную, а главное соответствующую федеральному уровню структуру госпрограмм.</w:t>
      </w:r>
    </w:p>
    <w:p w:rsidR="00F52244" w:rsidRPr="00DC40EC" w:rsidRDefault="001E4617" w:rsidP="00F52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A1721">
        <w:rPr>
          <w:rFonts w:ascii="Times New Roman" w:hAnsi="Times New Roman"/>
          <w:sz w:val="24"/>
          <w:szCs w:val="24"/>
        </w:rPr>
        <w:t>Кроме того, в соответствии с распоряжением Правительства РФ от 31.01.2019 № 117-р «Об утверждении Концепции повышения эффективности бюджетных расходов в 2019 - 2024 годах», по итогам работы с пилотными государственными программами планируется проведение тщательного анализа успешности подходов к их формированию и реализации и их дальнейшее совершенствование с учетом результатов такого анализа. Указанное свидетельствует о том, что переход Томской области на новые ГП с 2020 года с разделением ГП на подпрограммы (процессная часть) и региональные проекты (проектная часть</w:t>
      </w:r>
      <w:r w:rsidRPr="00F52244">
        <w:rPr>
          <w:rFonts w:ascii="Times New Roman" w:hAnsi="Times New Roman"/>
          <w:sz w:val="24"/>
          <w:szCs w:val="24"/>
        </w:rPr>
        <w:t xml:space="preserve">) </w:t>
      </w:r>
      <w:r w:rsidR="00F52244" w:rsidRPr="00F52244">
        <w:rPr>
          <w:rFonts w:ascii="Times New Roman" w:eastAsia="Times New Roman" w:hAnsi="Times New Roman"/>
          <w:sz w:val="24"/>
          <w:szCs w:val="24"/>
        </w:rPr>
        <w:t>может создать затруднения при взаимодействии с министерствами и ведомствами по условиям реализации госпрограмм.</w:t>
      </w:r>
    </w:p>
    <w:p w:rsidR="001E4617" w:rsidRDefault="001E4617" w:rsidP="00B42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617" w:rsidRPr="00B42E6C" w:rsidRDefault="001E4617" w:rsidP="00B42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2E6C">
        <w:rPr>
          <w:rFonts w:ascii="Times New Roman" w:hAnsi="Times New Roman"/>
          <w:sz w:val="24"/>
          <w:szCs w:val="24"/>
        </w:rPr>
        <w:t xml:space="preserve">В связи с тем, что из паспортов новых ГП Томской области исключена информация о соисполнителях и участниках ГП, о задачах ГП и показателях задач ГП, которые являлись целевыми показателями подпрограмм ГП, а также о подпрограммах и ВЦП, </w:t>
      </w:r>
      <w:r w:rsidRPr="00B42E6C">
        <w:rPr>
          <w:rFonts w:ascii="Times New Roman" w:hAnsi="Times New Roman"/>
          <w:b/>
          <w:sz w:val="24"/>
          <w:szCs w:val="24"/>
        </w:rPr>
        <w:t>утрачена возможность анализа</w:t>
      </w:r>
      <w:r w:rsidRPr="00B42E6C">
        <w:rPr>
          <w:rFonts w:ascii="Times New Roman" w:hAnsi="Times New Roman"/>
          <w:sz w:val="24"/>
          <w:szCs w:val="24"/>
        </w:rPr>
        <w:t xml:space="preserve"> на основе паспортов ГП, предоставляемых в составе материалов </w:t>
      </w:r>
      <w:r>
        <w:rPr>
          <w:rFonts w:ascii="Times New Roman" w:hAnsi="Times New Roman"/>
          <w:sz w:val="24"/>
          <w:szCs w:val="24"/>
        </w:rPr>
        <w:t>к</w:t>
      </w:r>
      <w:r w:rsidRPr="00B42E6C">
        <w:rPr>
          <w:rFonts w:ascii="Times New Roman" w:hAnsi="Times New Roman"/>
          <w:sz w:val="24"/>
          <w:szCs w:val="24"/>
        </w:rPr>
        <w:t xml:space="preserve"> законопроект</w:t>
      </w:r>
      <w:r>
        <w:rPr>
          <w:rFonts w:ascii="Times New Roman" w:hAnsi="Times New Roman"/>
          <w:sz w:val="24"/>
          <w:szCs w:val="24"/>
        </w:rPr>
        <w:t>у</w:t>
      </w:r>
      <w:r w:rsidRPr="00B42E6C">
        <w:rPr>
          <w:rFonts w:ascii="Times New Roman" w:hAnsi="Times New Roman"/>
          <w:sz w:val="24"/>
          <w:szCs w:val="24"/>
        </w:rPr>
        <w:t xml:space="preserve"> о бюджете:</w:t>
      </w:r>
    </w:p>
    <w:p w:rsidR="001E4617" w:rsidRPr="00B42E6C" w:rsidRDefault="001E4617" w:rsidP="00B42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2E6C">
        <w:rPr>
          <w:rFonts w:ascii="Times New Roman" w:hAnsi="Times New Roman"/>
          <w:sz w:val="24"/>
          <w:szCs w:val="24"/>
        </w:rPr>
        <w:t>- увязки достижения цели и целевых показателей ГП посредством решения поставленных задач ГП и установленных по каждой задаче показателей (подпрограмм ГП);</w:t>
      </w:r>
    </w:p>
    <w:p w:rsidR="001E4617" w:rsidRPr="00B42E6C" w:rsidRDefault="001E4617" w:rsidP="00B42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2E6C">
        <w:rPr>
          <w:rFonts w:ascii="Times New Roman" w:hAnsi="Times New Roman"/>
          <w:sz w:val="24"/>
          <w:szCs w:val="24"/>
        </w:rPr>
        <w:t>- соответствия задач и показателей задач ГП задачам и показателям задач социально-экономического развития Томской области, установленным в Стратегии СЭР до 2030 года;</w:t>
      </w:r>
    </w:p>
    <w:p w:rsidR="001E4617" w:rsidRPr="00B42E6C" w:rsidRDefault="001E4617" w:rsidP="00B42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2E6C">
        <w:rPr>
          <w:rFonts w:ascii="Times New Roman" w:hAnsi="Times New Roman"/>
          <w:sz w:val="24"/>
          <w:szCs w:val="24"/>
        </w:rPr>
        <w:t>- полноты охвата сфер социально-экономического развития Томской области.</w:t>
      </w:r>
    </w:p>
    <w:p w:rsidR="001E4617" w:rsidRPr="008F2AB3" w:rsidRDefault="001E4617" w:rsidP="00B42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2AB3">
        <w:rPr>
          <w:rFonts w:ascii="Times New Roman" w:hAnsi="Times New Roman"/>
          <w:sz w:val="24"/>
          <w:szCs w:val="24"/>
        </w:rPr>
        <w:t xml:space="preserve">В паспортах новых ГП показатели цели ГП и их значения указываются только с 2018 года включительно, а объемы и источники финансирования только с 2020 года, в связи с чем не обеспечена связь новых госпрограмм Томской области со всеми ранее начатыми в рамках госпрограмм с 2015 года и приоритетных проектов с 2017 года мероприятиями. Также не обеспечена связь с показателями Стратегии СЭР до 2030 года, позволявшая в динамике оценить </w:t>
      </w:r>
      <w:r w:rsidRPr="008F2AB3">
        <w:rPr>
          <w:rFonts w:ascii="Times New Roman" w:hAnsi="Times New Roman"/>
          <w:sz w:val="24"/>
          <w:szCs w:val="24"/>
        </w:rPr>
        <w:lastRenderedPageBreak/>
        <w:t>достигнутые результаты социально-экономического развития Томской области к уровню 2013 года.</w:t>
      </w:r>
    </w:p>
    <w:p w:rsidR="001E4617" w:rsidRPr="00B42E6C" w:rsidRDefault="001E4617" w:rsidP="00B42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2E6C">
        <w:rPr>
          <w:rFonts w:ascii="Times New Roman" w:hAnsi="Times New Roman"/>
          <w:sz w:val="24"/>
          <w:szCs w:val="24"/>
        </w:rPr>
        <w:t>Кроме несоответствия структуры новых госпрограмм Томской области, утвержденной в новом Порядке № 313а, структуре госпрограмм федерального уровня, в новых нормативных правовых актах Томской области 2019 года, а также в законопроекте об областном бюджете на 2020-2022 годы отмечены следующие недостатки:</w:t>
      </w:r>
    </w:p>
    <w:p w:rsidR="001E4617" w:rsidRPr="00B42E6C" w:rsidRDefault="001E4617" w:rsidP="00B42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</w:t>
      </w:r>
      <w:r w:rsidRPr="00B42E6C">
        <w:rPr>
          <w:rFonts w:ascii="Times New Roman" w:hAnsi="Times New Roman"/>
          <w:sz w:val="24"/>
          <w:szCs w:val="24"/>
        </w:rPr>
        <w:t xml:space="preserve"> новом Порядке № 313а отсутствует информация о планах-графиках, позволявших обеспечить надлежащий контроль за своевременностью выполнения мероприятий государст</w:t>
      </w:r>
      <w:r>
        <w:rPr>
          <w:rFonts w:ascii="Times New Roman" w:hAnsi="Times New Roman"/>
          <w:sz w:val="24"/>
          <w:szCs w:val="24"/>
        </w:rPr>
        <w:t>венных программ Томской области.</w:t>
      </w:r>
      <w:r w:rsidRPr="00B42E6C">
        <w:rPr>
          <w:rFonts w:ascii="Times New Roman" w:hAnsi="Times New Roman"/>
          <w:sz w:val="24"/>
          <w:szCs w:val="24"/>
        </w:rPr>
        <w:t xml:space="preserve"> </w:t>
      </w:r>
    </w:p>
    <w:p w:rsidR="001E4617" w:rsidRPr="00B42E6C" w:rsidRDefault="001E4617" w:rsidP="00AF5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</w:t>
      </w:r>
      <w:r w:rsidRPr="00B42E6C">
        <w:rPr>
          <w:rFonts w:ascii="Times New Roman" w:hAnsi="Times New Roman"/>
          <w:bCs/>
          <w:sz w:val="24"/>
          <w:szCs w:val="24"/>
        </w:rPr>
        <w:t xml:space="preserve"> составе нового Перечня ГП утверждена реализация 21 государственной программы в разрезе 5 целей Стратегии социально-экономического развития Томской области до 2030 года (далее - Стратегия СЭР до 2030 года). В соответствии с п. 4 ст. 32</w:t>
      </w:r>
      <w:r w:rsidRPr="00B42E6C">
        <w:rPr>
          <w:rFonts w:ascii="Times New Roman" w:hAnsi="Times New Roman"/>
          <w:i/>
          <w:color w:val="0000FF"/>
          <w:sz w:val="24"/>
          <w:szCs w:val="24"/>
        </w:rPr>
        <w:t xml:space="preserve"> </w:t>
      </w:r>
      <w:r w:rsidRPr="00B42E6C">
        <w:rPr>
          <w:rFonts w:ascii="Times New Roman" w:hAnsi="Times New Roman"/>
          <w:sz w:val="24"/>
          <w:szCs w:val="24"/>
        </w:rPr>
        <w:t>Федерального закона от 28.06.2014 № 172-ФЗ «О стратегическом планировании в Российской Федерации», стратегия социально-экономического развития субъекта Российской Федерации является основой для разработки в т.ч. государственных программ субъекта Российской Федерации.</w:t>
      </w:r>
    </w:p>
    <w:p w:rsidR="001E4617" w:rsidRDefault="001E4617" w:rsidP="00AF53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</w:t>
      </w:r>
      <w:r w:rsidRPr="00B42E6C">
        <w:rPr>
          <w:rFonts w:ascii="Times New Roman" w:hAnsi="Times New Roman"/>
          <w:sz w:val="24"/>
          <w:szCs w:val="24"/>
        </w:rPr>
        <w:t xml:space="preserve"> </w:t>
      </w:r>
      <w:r w:rsidRPr="00AF5361">
        <w:rPr>
          <w:rFonts w:ascii="Times New Roman" w:hAnsi="Times New Roman"/>
          <w:bCs/>
          <w:sz w:val="24"/>
          <w:szCs w:val="24"/>
        </w:rPr>
        <w:t>анализом соответствия наименований и значений целевых показателей новых госпрограмм Томской области целевым показателям, утвержден</w:t>
      </w:r>
      <w:r>
        <w:rPr>
          <w:rFonts w:ascii="Times New Roman" w:hAnsi="Times New Roman"/>
          <w:bCs/>
          <w:sz w:val="24"/>
          <w:szCs w:val="24"/>
        </w:rPr>
        <w:t xml:space="preserve">ным Стратегией СЭР до 2030 года установлено, что </w:t>
      </w:r>
      <w:r w:rsidRPr="008F2AB3">
        <w:rPr>
          <w:rFonts w:ascii="Times New Roman" w:hAnsi="Times New Roman"/>
          <w:b/>
          <w:bCs/>
          <w:sz w:val="24"/>
          <w:szCs w:val="24"/>
        </w:rPr>
        <w:t>из 51</w:t>
      </w:r>
      <w:r w:rsidRPr="00AF5361">
        <w:rPr>
          <w:rFonts w:ascii="Times New Roman" w:hAnsi="Times New Roman"/>
          <w:bCs/>
          <w:sz w:val="24"/>
          <w:szCs w:val="24"/>
        </w:rPr>
        <w:t xml:space="preserve"> показателя целей госпрограмм Томской области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1E4617" w:rsidRDefault="001E4617" w:rsidP="00AF53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AF5361">
        <w:rPr>
          <w:rFonts w:ascii="Times New Roman" w:hAnsi="Times New Roman"/>
          <w:bCs/>
          <w:sz w:val="24"/>
          <w:szCs w:val="24"/>
        </w:rPr>
        <w:t xml:space="preserve"> только 10 показателей полностью соответствуют целевым показателям, установленны</w:t>
      </w:r>
      <w:r>
        <w:rPr>
          <w:rFonts w:ascii="Times New Roman" w:hAnsi="Times New Roman"/>
          <w:bCs/>
          <w:sz w:val="24"/>
          <w:szCs w:val="24"/>
        </w:rPr>
        <w:t>м в Стратегии СЭР до 2030 года;</w:t>
      </w:r>
    </w:p>
    <w:p w:rsidR="001E4617" w:rsidRDefault="001E4617" w:rsidP="00AF53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AF5361">
        <w:rPr>
          <w:rFonts w:ascii="Times New Roman" w:hAnsi="Times New Roman"/>
          <w:bCs/>
          <w:sz w:val="24"/>
          <w:szCs w:val="24"/>
        </w:rPr>
        <w:t>14 целевых показателей ГП не соответствуют по значениям целевым показат</w:t>
      </w:r>
      <w:r>
        <w:rPr>
          <w:rFonts w:ascii="Times New Roman" w:hAnsi="Times New Roman"/>
          <w:bCs/>
          <w:sz w:val="24"/>
          <w:szCs w:val="24"/>
        </w:rPr>
        <w:t>елям Стратегии СЭР до 2030 года;</w:t>
      </w:r>
    </w:p>
    <w:p w:rsidR="001E4617" w:rsidRDefault="001E4617" w:rsidP="00636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AF5361">
        <w:rPr>
          <w:rFonts w:ascii="Times New Roman" w:hAnsi="Times New Roman"/>
          <w:bCs/>
          <w:sz w:val="24"/>
          <w:szCs w:val="24"/>
        </w:rPr>
        <w:t xml:space="preserve"> по 27 целевым показателям ГП информация в Стратег</w:t>
      </w:r>
      <w:r>
        <w:rPr>
          <w:rFonts w:ascii="Times New Roman" w:hAnsi="Times New Roman"/>
          <w:bCs/>
          <w:sz w:val="24"/>
          <w:szCs w:val="24"/>
        </w:rPr>
        <w:t>ии СЭР до 2030 года отсутствует.</w:t>
      </w:r>
    </w:p>
    <w:p w:rsidR="001E4617" w:rsidRPr="00B42E6C" w:rsidRDefault="001E4617" w:rsidP="00636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</w:t>
      </w:r>
      <w:r w:rsidRPr="00B42E6C">
        <w:rPr>
          <w:rFonts w:ascii="Times New Roman" w:hAnsi="Times New Roman"/>
          <w:sz w:val="24"/>
          <w:szCs w:val="24"/>
        </w:rPr>
        <w:t>а региональном уровне отсутствует Порядок разработки, реализации региональных проектов и формирование отчетности о реализации региональных проектов.</w:t>
      </w:r>
    </w:p>
    <w:p w:rsidR="001E4617" w:rsidRPr="00B42E6C" w:rsidRDefault="001E4617" w:rsidP="00B42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1E4617" w:rsidRDefault="001E4617" w:rsidP="00B42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2E6C">
        <w:rPr>
          <w:rFonts w:ascii="Times New Roman" w:hAnsi="Times New Roman"/>
          <w:sz w:val="24"/>
          <w:szCs w:val="24"/>
        </w:rPr>
        <w:t xml:space="preserve">С учетом того, что на федеральном уровне структура госпрограмм на 2020-2022 годы не изменилась, национальные (федеральные) проекты обособлены в качестве отдельных структурных элементов государственных программ на уровне основных мероприятий в составе подпрограмм ГП, а бюджетные ассигнования на их реализацию учитываются на отдельных </w:t>
      </w:r>
      <w:r>
        <w:rPr>
          <w:rFonts w:ascii="Times New Roman" w:hAnsi="Times New Roman"/>
          <w:sz w:val="24"/>
          <w:szCs w:val="24"/>
        </w:rPr>
        <w:t>кодах бюджетной классификации (</w:t>
      </w:r>
      <w:r w:rsidRPr="00B42E6C">
        <w:rPr>
          <w:rFonts w:ascii="Times New Roman" w:hAnsi="Times New Roman"/>
          <w:sz w:val="24"/>
          <w:szCs w:val="24"/>
        </w:rPr>
        <w:t>КБК</w:t>
      </w:r>
      <w:r>
        <w:rPr>
          <w:rFonts w:ascii="Times New Roman" w:hAnsi="Times New Roman"/>
          <w:sz w:val="24"/>
          <w:szCs w:val="24"/>
        </w:rPr>
        <w:t>)</w:t>
      </w:r>
      <w:r w:rsidRPr="00B42E6C">
        <w:rPr>
          <w:rFonts w:ascii="Times New Roman" w:hAnsi="Times New Roman"/>
          <w:sz w:val="24"/>
          <w:szCs w:val="24"/>
        </w:rPr>
        <w:t xml:space="preserve"> и соответствуют КБК 2019 года, встраивание федеральных проектов в госуда</w:t>
      </w:r>
      <w:r>
        <w:rPr>
          <w:rFonts w:ascii="Times New Roman" w:hAnsi="Times New Roman"/>
          <w:sz w:val="24"/>
          <w:szCs w:val="24"/>
        </w:rPr>
        <w:t>рственные программы Российской Ф</w:t>
      </w:r>
      <w:r w:rsidRPr="00B42E6C">
        <w:rPr>
          <w:rFonts w:ascii="Times New Roman" w:hAnsi="Times New Roman"/>
          <w:sz w:val="24"/>
          <w:szCs w:val="24"/>
        </w:rPr>
        <w:t xml:space="preserve">едерации осуществлено без изменений Перечня ГП РФ (утвержден распоряжением Правительства РФ от 11.11.2010 № 1950-р) и разработки новых нормативных правовых документов, регламентирующих порядок разработки и реализации ГП РФ (Порядок утвержден постановлением Правительства РФ от 02.08.2010 № 588, Методические указания по разработке и реализации государственных программ Российской Федерации утверждены приказом Минэкономразвития России от 16.09.2016 № 582), считаем необходимым отметить о </w:t>
      </w:r>
      <w:r>
        <w:rPr>
          <w:rFonts w:ascii="Times New Roman" w:hAnsi="Times New Roman"/>
          <w:sz w:val="24"/>
          <w:szCs w:val="24"/>
        </w:rPr>
        <w:t xml:space="preserve">целесообразности </w:t>
      </w:r>
      <w:r w:rsidRPr="00B42E6C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я</w:t>
      </w:r>
      <w:r w:rsidRPr="00B42E6C">
        <w:rPr>
          <w:rFonts w:ascii="Times New Roman" w:hAnsi="Times New Roman"/>
          <w:sz w:val="24"/>
          <w:szCs w:val="24"/>
        </w:rPr>
        <w:t xml:space="preserve"> взвешенной политики стратегического</w:t>
      </w:r>
      <w:r w:rsidR="00176EE1">
        <w:rPr>
          <w:rFonts w:ascii="Times New Roman" w:hAnsi="Times New Roman"/>
          <w:sz w:val="24"/>
          <w:szCs w:val="24"/>
        </w:rPr>
        <w:t xml:space="preserve"> планирования</w:t>
      </w:r>
      <w:r w:rsidRPr="00B42E6C">
        <w:rPr>
          <w:rFonts w:ascii="Times New Roman" w:hAnsi="Times New Roman"/>
          <w:sz w:val="24"/>
          <w:szCs w:val="24"/>
        </w:rPr>
        <w:t xml:space="preserve"> в части формирования документов стратегического </w:t>
      </w:r>
      <w:r w:rsidR="00176EE1">
        <w:rPr>
          <w:rFonts w:ascii="Times New Roman" w:hAnsi="Times New Roman"/>
          <w:sz w:val="24"/>
          <w:szCs w:val="24"/>
        </w:rPr>
        <w:t>планирования</w:t>
      </w:r>
      <w:r w:rsidRPr="00B42E6C">
        <w:rPr>
          <w:rFonts w:ascii="Times New Roman" w:hAnsi="Times New Roman"/>
          <w:sz w:val="24"/>
          <w:szCs w:val="24"/>
        </w:rPr>
        <w:t xml:space="preserve"> с учетом имеющейся положительной практики и требований законодательства</w:t>
      </w:r>
      <w:r>
        <w:rPr>
          <w:rFonts w:ascii="Times New Roman" w:hAnsi="Times New Roman"/>
          <w:sz w:val="24"/>
          <w:szCs w:val="24"/>
        </w:rPr>
        <w:t>,</w:t>
      </w:r>
      <w:r w:rsidRPr="00B42E6C">
        <w:rPr>
          <w:rFonts w:ascii="Times New Roman" w:hAnsi="Times New Roman"/>
          <w:sz w:val="24"/>
          <w:szCs w:val="24"/>
        </w:rPr>
        <w:t xml:space="preserve"> </w:t>
      </w:r>
      <w:r w:rsidRPr="00341642">
        <w:rPr>
          <w:rFonts w:ascii="Times New Roman" w:hAnsi="Times New Roman"/>
          <w:b/>
          <w:sz w:val="24"/>
          <w:szCs w:val="24"/>
        </w:rPr>
        <w:t>чтобы исключить частые трансформации государственных программ до срока завершения</w:t>
      </w:r>
      <w:r w:rsidRPr="00B42E6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,</w:t>
      </w:r>
      <w:r w:rsidRPr="00B42E6C">
        <w:rPr>
          <w:rFonts w:ascii="Times New Roman" w:hAnsi="Times New Roman"/>
          <w:sz w:val="24"/>
          <w:szCs w:val="24"/>
        </w:rPr>
        <w:t xml:space="preserve"> как следствие</w:t>
      </w:r>
      <w:r>
        <w:rPr>
          <w:rFonts w:ascii="Times New Roman" w:hAnsi="Times New Roman"/>
          <w:sz w:val="24"/>
          <w:szCs w:val="24"/>
        </w:rPr>
        <w:t>,</w:t>
      </w:r>
      <w:r w:rsidRPr="00B42E6C">
        <w:rPr>
          <w:rFonts w:ascii="Times New Roman" w:hAnsi="Times New Roman"/>
          <w:sz w:val="24"/>
          <w:szCs w:val="24"/>
        </w:rPr>
        <w:t xml:space="preserve"> невозможность оценки их реализации и влияния на социально-экономическое развитие Томской области.</w:t>
      </w:r>
    </w:p>
    <w:p w:rsidR="001E4617" w:rsidRPr="00960E74" w:rsidRDefault="001E4617" w:rsidP="00960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0E74">
        <w:rPr>
          <w:rFonts w:ascii="Times New Roman" w:hAnsi="Times New Roman"/>
          <w:sz w:val="24"/>
          <w:szCs w:val="24"/>
        </w:rPr>
        <w:t xml:space="preserve">По результатам анализа формирования программных расходов областного бюджета на 2020-2022 годы </w:t>
      </w:r>
      <w:r>
        <w:rPr>
          <w:rFonts w:ascii="Times New Roman" w:hAnsi="Times New Roman"/>
          <w:sz w:val="24"/>
          <w:szCs w:val="24"/>
        </w:rPr>
        <w:t>установлено следующее</w:t>
      </w:r>
      <w:r w:rsidRPr="00960E74">
        <w:rPr>
          <w:rFonts w:ascii="Times New Roman" w:hAnsi="Times New Roman"/>
          <w:sz w:val="24"/>
          <w:szCs w:val="24"/>
        </w:rPr>
        <w:t>:</w:t>
      </w:r>
    </w:p>
    <w:p w:rsidR="001E4617" w:rsidRPr="00653721" w:rsidRDefault="001E4617" w:rsidP="00960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0E74">
        <w:rPr>
          <w:rFonts w:ascii="Times New Roman" w:hAnsi="Times New Roman"/>
          <w:sz w:val="24"/>
          <w:szCs w:val="24"/>
        </w:rPr>
        <w:t>- ф</w:t>
      </w:r>
      <w:r w:rsidRPr="00960E74">
        <w:rPr>
          <w:rFonts w:ascii="Times New Roman" w:hAnsi="Times New Roman"/>
          <w:sz w:val="24"/>
          <w:szCs w:val="24"/>
          <w:lang w:eastAsia="ru-RU"/>
        </w:rPr>
        <w:t xml:space="preserve">ормирование расходов областного бюджета на 2020-2022 годы осуществлялось в соответствии с </w:t>
      </w:r>
      <w:hyperlink w:anchor="Par144" w:tooltip="Ссылка на текущий документ" w:history="1">
        <w:r w:rsidRPr="00960E74">
          <w:rPr>
            <w:rFonts w:ascii="Times New Roman" w:hAnsi="Times New Roman"/>
            <w:sz w:val="24"/>
            <w:szCs w:val="24"/>
            <w:lang w:eastAsia="ru-RU"/>
          </w:rPr>
          <w:t>Методикой</w:t>
        </w:r>
      </w:hyperlink>
      <w:r w:rsidRPr="00960E74">
        <w:rPr>
          <w:rFonts w:ascii="Times New Roman" w:hAnsi="Times New Roman"/>
          <w:sz w:val="24"/>
          <w:szCs w:val="24"/>
          <w:lang w:eastAsia="ru-RU"/>
        </w:rPr>
        <w:t xml:space="preserve"> планирования бюджетных ассигнований областного бюджета на очередной финансовый год и плановый период, утвержденной приказом Департамента финансов Томской области от 19.07.2012 № 24 «Об утверждении порядка планирования бюджетных ассигнований областного бюджета на очередной финансовый год и плановый период и методики планирования бюджетных ассигнований областного бюджета на очередной финансовый год и плановый период» </w:t>
      </w:r>
      <w:r w:rsidRPr="00960E74">
        <w:rPr>
          <w:rFonts w:ascii="Times New Roman" w:hAnsi="Times New Roman"/>
          <w:sz w:val="24"/>
          <w:szCs w:val="24"/>
        </w:rPr>
        <w:t xml:space="preserve">(с учетом изменений), </w:t>
      </w:r>
      <w:r>
        <w:rPr>
          <w:rFonts w:ascii="Times New Roman" w:hAnsi="Times New Roman"/>
          <w:sz w:val="24"/>
          <w:szCs w:val="24"/>
        </w:rPr>
        <w:t xml:space="preserve">однако </w:t>
      </w:r>
      <w:r w:rsidRPr="00653721">
        <w:rPr>
          <w:rFonts w:ascii="Times New Roman" w:hAnsi="Times New Roman"/>
          <w:sz w:val="24"/>
          <w:szCs w:val="24"/>
        </w:rPr>
        <w:t xml:space="preserve">указанный правовой акт </w:t>
      </w:r>
      <w:r w:rsidRPr="00653721">
        <w:rPr>
          <w:rFonts w:ascii="Times New Roman" w:hAnsi="Times New Roman"/>
          <w:sz w:val="24"/>
          <w:szCs w:val="24"/>
        </w:rPr>
        <w:lastRenderedPageBreak/>
        <w:t xml:space="preserve">устарел (утратил свою актуальность), а изменения (проект изменений) в правовой акт не утверждены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53721">
        <w:rPr>
          <w:rFonts w:ascii="Times New Roman" w:hAnsi="Times New Roman"/>
          <w:sz w:val="24"/>
          <w:szCs w:val="24"/>
        </w:rPr>
        <w:t>на момент</w:t>
      </w:r>
      <w:r>
        <w:rPr>
          <w:rFonts w:ascii="Times New Roman" w:hAnsi="Times New Roman"/>
          <w:sz w:val="24"/>
          <w:szCs w:val="24"/>
        </w:rPr>
        <w:t xml:space="preserve"> подготовки заключения</w:t>
      </w:r>
      <w:r w:rsidRPr="00653721">
        <w:rPr>
          <w:rFonts w:ascii="Times New Roman" w:hAnsi="Times New Roman"/>
          <w:sz w:val="24"/>
          <w:szCs w:val="24"/>
          <w:lang w:eastAsia="ru-RU"/>
        </w:rPr>
        <w:t>;</w:t>
      </w:r>
    </w:p>
    <w:p w:rsidR="001E4617" w:rsidRPr="00960E74" w:rsidRDefault="001E4617" w:rsidP="00960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60E74">
        <w:rPr>
          <w:rFonts w:ascii="Times New Roman" w:hAnsi="Times New Roman"/>
          <w:bCs/>
          <w:sz w:val="24"/>
          <w:szCs w:val="24"/>
        </w:rPr>
        <w:t>- базой для формирования действующих расходных обязательств явились показатели сводной бюджетной росписи 2019 года (по состоянию на 01.05.2019 с учетом внесения изменений в Закон об об</w:t>
      </w:r>
      <w:r>
        <w:rPr>
          <w:rFonts w:ascii="Times New Roman" w:hAnsi="Times New Roman"/>
          <w:bCs/>
          <w:sz w:val="24"/>
          <w:szCs w:val="24"/>
        </w:rPr>
        <w:t>ластном бюджете от 06.05.2019 №</w:t>
      </w:r>
      <w:r w:rsidRPr="00960E74">
        <w:rPr>
          <w:rFonts w:ascii="Times New Roman" w:hAnsi="Times New Roman"/>
          <w:bCs/>
          <w:sz w:val="24"/>
          <w:szCs w:val="24"/>
        </w:rPr>
        <w:t>37-ОЗ), приведенные в сопоставимые условия; средства на софинансирование расходов на реализацию региональных проектов на 2020-2022 годы предусмотрены в соответствии с утвержденными региональными проектами и Законом Томской области «Об областном бюджете на 2019 год и на плановый период 2020 и 2021 годо</w:t>
      </w:r>
      <w:r>
        <w:rPr>
          <w:rFonts w:ascii="Times New Roman" w:hAnsi="Times New Roman"/>
          <w:bCs/>
          <w:sz w:val="24"/>
          <w:szCs w:val="24"/>
        </w:rPr>
        <w:t>в» (с учетом изменений). П</w:t>
      </w:r>
      <w:r w:rsidRPr="00960E74">
        <w:rPr>
          <w:rFonts w:ascii="Times New Roman" w:hAnsi="Times New Roman"/>
          <w:bCs/>
          <w:sz w:val="24"/>
          <w:szCs w:val="24"/>
          <w:lang w:eastAsia="ru-RU"/>
        </w:rPr>
        <w:t xml:space="preserve">о информации Департамента финансов </w:t>
      </w:r>
      <w:r w:rsidRPr="00EA6AD1">
        <w:rPr>
          <w:rFonts w:ascii="Times New Roman" w:hAnsi="Times New Roman"/>
          <w:bCs/>
          <w:sz w:val="24"/>
          <w:szCs w:val="24"/>
          <w:lang w:eastAsia="ru-RU"/>
        </w:rPr>
        <w:t xml:space="preserve">формирование проекта областного бюджета </w:t>
      </w:r>
      <w:r w:rsidRPr="00D73039">
        <w:rPr>
          <w:rFonts w:ascii="Times New Roman" w:hAnsi="Times New Roman"/>
          <w:bCs/>
          <w:sz w:val="24"/>
          <w:szCs w:val="24"/>
          <w:u w:val="single"/>
          <w:lang w:eastAsia="ru-RU"/>
        </w:rPr>
        <w:t>в части кодов целевых статьей расходов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(ЦСР)</w:t>
      </w:r>
      <w:r w:rsidRPr="00EA6AD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73039">
        <w:rPr>
          <w:rFonts w:ascii="Times New Roman" w:hAnsi="Times New Roman"/>
          <w:bCs/>
          <w:sz w:val="24"/>
          <w:szCs w:val="24"/>
          <w:lang w:eastAsia="ru-RU"/>
        </w:rPr>
        <w:t xml:space="preserve">осуществлялось в соответствии </w:t>
      </w:r>
      <w:r w:rsidRPr="00D73039">
        <w:rPr>
          <w:rFonts w:ascii="Times New Roman" w:hAnsi="Times New Roman"/>
          <w:b/>
          <w:bCs/>
          <w:sz w:val="24"/>
          <w:szCs w:val="24"/>
          <w:lang w:eastAsia="ru-RU"/>
        </w:rPr>
        <w:t>с проектом приказа</w:t>
      </w:r>
      <w:r w:rsidRPr="00D73039">
        <w:rPr>
          <w:rFonts w:ascii="Times New Roman" w:hAnsi="Times New Roman"/>
          <w:bCs/>
          <w:sz w:val="24"/>
          <w:szCs w:val="24"/>
          <w:lang w:eastAsia="ru-RU"/>
        </w:rPr>
        <w:t xml:space="preserve"> Департамента финансов «О внесении изменений в приказ Департамента финансов Томской области от 22.12.2014 № 31 «Об установлении структуры кода целевой</w:t>
      </w:r>
      <w:r w:rsidRPr="00960E74">
        <w:rPr>
          <w:rFonts w:ascii="Times New Roman" w:hAnsi="Times New Roman"/>
          <w:bCs/>
          <w:sz w:val="24"/>
          <w:szCs w:val="24"/>
          <w:lang w:eastAsia="ru-RU"/>
        </w:rPr>
        <w:t xml:space="preserve"> статьи, перечня и кодов целевых статей расходов областного бюджета и бюджета Территориального фонда обязательного медицинского страхования Томской области», </w:t>
      </w:r>
      <w:r w:rsidRPr="00D73039">
        <w:rPr>
          <w:rFonts w:ascii="Times New Roman" w:hAnsi="Times New Roman"/>
          <w:bCs/>
          <w:sz w:val="24"/>
          <w:szCs w:val="24"/>
          <w:lang w:eastAsia="ru-RU"/>
        </w:rPr>
        <w:t xml:space="preserve">т.е. без их нормативного закрепления </w:t>
      </w:r>
      <w:r>
        <w:rPr>
          <w:rFonts w:ascii="Times New Roman" w:hAnsi="Times New Roman"/>
          <w:bCs/>
          <w:sz w:val="24"/>
          <w:szCs w:val="24"/>
          <w:lang w:eastAsia="ru-RU"/>
        </w:rPr>
        <w:t>на момент формирования расходов</w:t>
      </w:r>
      <w:r w:rsidRPr="00D7303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60E74">
        <w:rPr>
          <w:rFonts w:ascii="Times New Roman" w:hAnsi="Times New Roman"/>
          <w:bCs/>
          <w:sz w:val="24"/>
          <w:szCs w:val="24"/>
          <w:lang w:eastAsia="ru-RU"/>
        </w:rPr>
        <w:t>(далее – проект изменений приказа № 31).</w:t>
      </w:r>
    </w:p>
    <w:p w:rsidR="001E4617" w:rsidRPr="00960E74" w:rsidRDefault="001E4617" w:rsidP="00960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0E74">
        <w:rPr>
          <w:rFonts w:ascii="Times New Roman" w:hAnsi="Times New Roman"/>
          <w:bCs/>
          <w:sz w:val="24"/>
          <w:szCs w:val="24"/>
        </w:rPr>
        <w:t>При сопоставлении</w:t>
      </w:r>
      <w:r w:rsidRPr="00960E74">
        <w:rPr>
          <w:rFonts w:ascii="Times New Roman" w:hAnsi="Times New Roman"/>
          <w:sz w:val="24"/>
          <w:szCs w:val="24"/>
        </w:rPr>
        <w:t xml:space="preserve"> бюджетных ассигнований на реализацию 24 госпрограмм Томской области, </w:t>
      </w:r>
      <w:r w:rsidRPr="00960E74">
        <w:rPr>
          <w:rFonts w:ascii="Times New Roman" w:hAnsi="Times New Roman"/>
          <w:bCs/>
          <w:sz w:val="24"/>
          <w:szCs w:val="24"/>
        </w:rPr>
        <w:t xml:space="preserve">подлежащих в соответствии с Законом Томской области «Об областном бюджете на 2019 год и на плановый период 2020 и 2021 годов (в ред. 3 Закона от 06.05.2019 № 37-ОЗ) исполнению в плановом периоде 2020 и 2021 годов (действующие расходные обязательства), </w:t>
      </w:r>
      <w:r w:rsidRPr="00960E74">
        <w:rPr>
          <w:rFonts w:ascii="Times New Roman" w:hAnsi="Times New Roman"/>
          <w:sz w:val="24"/>
          <w:szCs w:val="24"/>
        </w:rPr>
        <w:t xml:space="preserve">с бюджетными ассигнованиями на этот же период, запланированными в законопроекте о бюджете на реализацию 21 новой ГП на 2020-2022 годы, </w:t>
      </w:r>
      <w:r w:rsidRPr="00960E74">
        <w:rPr>
          <w:rFonts w:ascii="Times New Roman" w:hAnsi="Times New Roman"/>
          <w:b/>
          <w:sz w:val="24"/>
          <w:szCs w:val="24"/>
        </w:rPr>
        <w:t xml:space="preserve">установлено в основном несоответствие кодов ЦСР в законопроекте </w:t>
      </w:r>
      <w:r w:rsidRPr="00EA6AD1">
        <w:rPr>
          <w:rFonts w:ascii="Times New Roman" w:hAnsi="Times New Roman"/>
          <w:sz w:val="24"/>
          <w:szCs w:val="24"/>
        </w:rPr>
        <w:t>по программным расходам на 2020-2022 годы кодам ЦСР, установленным Законом № 151-ОЗ на 2019-2021 годы, связанное с формированием законопроекта о бюджете на основе нового Перечня ГП и</w:t>
      </w:r>
      <w:r w:rsidRPr="00960E74">
        <w:rPr>
          <w:rFonts w:ascii="Times New Roman" w:hAnsi="Times New Roman"/>
          <w:sz w:val="24"/>
          <w:szCs w:val="24"/>
        </w:rPr>
        <w:t xml:space="preserve"> нового перечня и кодов ЦСР областного бюджета, что свидетельствует о несоблюдении принципа </w:t>
      </w:r>
      <w:r w:rsidRPr="00960E74">
        <w:rPr>
          <w:rFonts w:ascii="Times New Roman" w:hAnsi="Times New Roman"/>
          <w:bCs/>
          <w:sz w:val="24"/>
          <w:szCs w:val="24"/>
        </w:rPr>
        <w:t>стабильности (преемственности), установленного п. 5.2 приказа Минфина России от 06.06.2019 № 85н «О Порядке формирования и применения кодов бюджетной классификации Российской Федерации, их структуре и принципах назначения» и означающего назначение кодов бюджетной кла</w:t>
      </w:r>
      <w:r>
        <w:rPr>
          <w:rFonts w:ascii="Times New Roman" w:hAnsi="Times New Roman"/>
          <w:bCs/>
          <w:sz w:val="24"/>
          <w:szCs w:val="24"/>
        </w:rPr>
        <w:t xml:space="preserve">ссификации РФ </w:t>
      </w:r>
      <w:r w:rsidRPr="00960E74">
        <w:rPr>
          <w:rFonts w:ascii="Times New Roman" w:hAnsi="Times New Roman"/>
          <w:bCs/>
          <w:sz w:val="24"/>
          <w:szCs w:val="24"/>
        </w:rPr>
        <w:t>на условиях стабильности и (или) преемственности кодов бюджетной классификации Российской Федерации отчетного, текущего и очередного финансового года (очередного финансового года и планового периода), а также не обеспечивает предусмотренную бюджетной политикой РФ на 2020-2022 годы в рамках дальнейшего развития системы проектного управления полную прослеживаемость движения средств областного бюджета, направленных в т.ч. на реализацию региональных проектов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E4617" w:rsidRPr="00960E74" w:rsidRDefault="001E4617" w:rsidP="00960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0E74">
        <w:rPr>
          <w:rFonts w:ascii="Times New Roman" w:hAnsi="Times New Roman"/>
          <w:sz w:val="24"/>
          <w:szCs w:val="24"/>
        </w:rPr>
        <w:t xml:space="preserve">В соответствии с проектом </w:t>
      </w:r>
      <w:r w:rsidRPr="00960E74">
        <w:rPr>
          <w:rFonts w:ascii="Times New Roman" w:hAnsi="Times New Roman"/>
          <w:bCs/>
          <w:sz w:val="24"/>
          <w:szCs w:val="24"/>
          <w:lang w:eastAsia="ru-RU"/>
        </w:rPr>
        <w:t>изменений приказа № 31,</w:t>
      </w:r>
      <w:r w:rsidRPr="00960E74">
        <w:rPr>
          <w:rFonts w:ascii="Times New Roman" w:hAnsi="Times New Roman"/>
          <w:bCs/>
          <w:sz w:val="24"/>
          <w:szCs w:val="24"/>
        </w:rPr>
        <w:t xml:space="preserve"> 11-12 разряды кода ЦСР используются для кодирования ведомственных целевых программ Томской области, основных мероприятий ГП и региональных проектов Томской области, входящих в состав ГП. Для ВЦП применяется цифровой ряд 60-79. Для ОМ за счет расходов областного бюджета применяется цифровой ряд 80-99, для ОМ за счет расходов бюджета ТФОМС применяется цифровой ряд 20-29. Код РП соответствует коду федерального проекта, реализуемого в рамках национального проекта, т.е. в разрядах 11 и 12 указываются номер национального проекта (буквенный код) и номер федерального проекта (цифровой код). А так как 13-17 разряды кода ЦСР используются для конкретизации (при необходимости) мероприятий ВЦП, ОМ, РП, входящих в состав ГП, получается, что региональные проекты Томской области не идентифицируются по коду ЦСР (только по наименованию).</w:t>
      </w:r>
    </w:p>
    <w:p w:rsidR="001E4617" w:rsidRDefault="001E4617" w:rsidP="00960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0E74">
        <w:rPr>
          <w:rFonts w:ascii="Times New Roman" w:hAnsi="Times New Roman"/>
          <w:b/>
          <w:bCs/>
          <w:sz w:val="24"/>
          <w:szCs w:val="24"/>
        </w:rPr>
        <w:t xml:space="preserve">В связи с </w:t>
      </w:r>
      <w:r>
        <w:rPr>
          <w:rFonts w:ascii="Times New Roman" w:hAnsi="Times New Roman"/>
          <w:b/>
          <w:bCs/>
          <w:sz w:val="24"/>
          <w:szCs w:val="24"/>
        </w:rPr>
        <w:t>изложен</w:t>
      </w:r>
      <w:r w:rsidRPr="00960E74">
        <w:rPr>
          <w:rFonts w:ascii="Times New Roman" w:hAnsi="Times New Roman"/>
          <w:b/>
          <w:bCs/>
          <w:sz w:val="24"/>
          <w:szCs w:val="24"/>
        </w:rPr>
        <w:t xml:space="preserve">ным, в целях организации эффективной системы мониторинга и управления реализацией региональных проектов </w:t>
      </w:r>
      <w:r>
        <w:rPr>
          <w:rFonts w:ascii="Times New Roman" w:hAnsi="Times New Roman"/>
          <w:b/>
          <w:bCs/>
          <w:sz w:val="24"/>
          <w:szCs w:val="24"/>
        </w:rPr>
        <w:t xml:space="preserve">необходимо </w:t>
      </w:r>
      <w:r w:rsidRPr="00960E74">
        <w:rPr>
          <w:rFonts w:ascii="Times New Roman" w:hAnsi="Times New Roman"/>
          <w:b/>
          <w:bCs/>
          <w:sz w:val="24"/>
          <w:szCs w:val="24"/>
        </w:rPr>
        <w:t xml:space="preserve">обеспечить их обособление на отдельных </w:t>
      </w:r>
      <w:r>
        <w:rPr>
          <w:rFonts w:ascii="Times New Roman" w:hAnsi="Times New Roman"/>
          <w:b/>
          <w:bCs/>
          <w:sz w:val="24"/>
          <w:szCs w:val="24"/>
        </w:rPr>
        <w:t>кодах бюджетной классификации</w:t>
      </w:r>
      <w:r w:rsidRPr="00960E74">
        <w:rPr>
          <w:rFonts w:ascii="Times New Roman" w:hAnsi="Times New Roman"/>
          <w:b/>
          <w:bCs/>
          <w:sz w:val="24"/>
          <w:szCs w:val="24"/>
        </w:rPr>
        <w:t>.</w:t>
      </w:r>
    </w:p>
    <w:p w:rsidR="00A90A92" w:rsidRDefault="00A90A92" w:rsidP="00960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1CF2" w:rsidRPr="00960E74" w:rsidRDefault="008F1CF2" w:rsidP="00960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4617" w:rsidRPr="00B42E6C" w:rsidRDefault="001E4617" w:rsidP="00B42E6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4617" w:rsidRDefault="001E4617" w:rsidP="003F23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23A5">
        <w:rPr>
          <w:rFonts w:ascii="Times New Roman" w:hAnsi="Times New Roman"/>
          <w:b/>
          <w:sz w:val="24"/>
          <w:szCs w:val="24"/>
        </w:rPr>
        <w:lastRenderedPageBreak/>
        <w:t>6.2.  Анализ формирования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23A5">
        <w:rPr>
          <w:rFonts w:ascii="Times New Roman" w:hAnsi="Times New Roman"/>
          <w:b/>
          <w:sz w:val="24"/>
          <w:szCs w:val="24"/>
        </w:rPr>
        <w:t>расходов на реализацию государственных программ</w:t>
      </w:r>
    </w:p>
    <w:p w:rsidR="008F1CF2" w:rsidRDefault="008F1CF2" w:rsidP="003F23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28C5" w:rsidRPr="00FE28C5" w:rsidRDefault="00FE28C5" w:rsidP="00FE28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28C5">
        <w:rPr>
          <w:rFonts w:ascii="Times New Roman" w:hAnsi="Times New Roman"/>
          <w:bCs/>
          <w:sz w:val="24"/>
          <w:szCs w:val="24"/>
        </w:rPr>
        <w:t xml:space="preserve">Расходы областного бюджета на реализацию государственных программ на 2020 год планируются в законопроекте в объеме </w:t>
      </w:r>
      <w:r w:rsidRPr="00FE28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56 918 617,3 </w:t>
      </w:r>
      <w:r w:rsidRPr="00FE28C5">
        <w:rPr>
          <w:rFonts w:ascii="Times New Roman" w:hAnsi="Times New Roman"/>
          <w:bCs/>
          <w:sz w:val="24"/>
          <w:szCs w:val="24"/>
        </w:rPr>
        <w:t xml:space="preserve">тыс.руб., на 2021 год – </w:t>
      </w:r>
      <w:r w:rsidRPr="00FE28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59 715 757,8 </w:t>
      </w:r>
      <w:r w:rsidRPr="00FE28C5">
        <w:rPr>
          <w:rFonts w:ascii="Times New Roman" w:hAnsi="Times New Roman"/>
          <w:bCs/>
          <w:sz w:val="24"/>
          <w:szCs w:val="24"/>
        </w:rPr>
        <w:t xml:space="preserve">тыс.руб., на 2022 год – </w:t>
      </w:r>
      <w:r w:rsidRPr="00FE28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62 453 200,6 </w:t>
      </w:r>
      <w:r w:rsidRPr="00FE28C5">
        <w:rPr>
          <w:rFonts w:ascii="Times New Roman" w:hAnsi="Times New Roman"/>
          <w:bCs/>
          <w:sz w:val="24"/>
          <w:szCs w:val="24"/>
        </w:rPr>
        <w:t>тыс.руб., что составляет 91,2%, 97,2% и 97,3% от общего объема расходов областного бюджета соответственно</w:t>
      </w:r>
      <w:r w:rsidRPr="00FE28C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FE28C5" w:rsidRPr="00FE28C5" w:rsidRDefault="00FE28C5" w:rsidP="00FE2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FE28C5">
        <w:rPr>
          <w:rFonts w:ascii="Times New Roman" w:hAnsi="Times New Roman"/>
          <w:iCs/>
          <w:sz w:val="24"/>
          <w:szCs w:val="24"/>
        </w:rPr>
        <w:t xml:space="preserve">До 2020 года палатой неоднократно указывалось на то, что </w:t>
      </w:r>
      <w:r w:rsidRPr="00FE28C5">
        <w:rPr>
          <w:rFonts w:ascii="Times New Roman" w:hAnsi="Times New Roman"/>
          <w:sz w:val="24"/>
          <w:szCs w:val="24"/>
        </w:rPr>
        <w:t xml:space="preserve">структура программной части областного бюджета в разрезе расходов на ВЦП, основные мероприятия и обеспечивающие подпрограммы предусматривает в основном финансирование текущих расходов (ВЦП и обеспечивающие подпрограммы), которые не носят инвестиционный характер и не направлены на реализацию приоритетных </w:t>
      </w:r>
      <w:r w:rsidRPr="00FE28C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направлений развития региона.</w:t>
      </w:r>
    </w:p>
    <w:p w:rsidR="00FE28C5" w:rsidRPr="00FE28C5" w:rsidRDefault="00FE28C5" w:rsidP="00FE2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FE28C5">
        <w:rPr>
          <w:rFonts w:ascii="Times New Roman" w:hAnsi="Times New Roman"/>
          <w:iCs/>
          <w:sz w:val="24"/>
          <w:szCs w:val="24"/>
        </w:rPr>
        <w:t>В новой с</w:t>
      </w:r>
      <w:r w:rsidRPr="00FE28C5">
        <w:rPr>
          <w:rFonts w:ascii="Times New Roman" w:hAnsi="Times New Roman"/>
          <w:sz w:val="24"/>
          <w:szCs w:val="24"/>
        </w:rPr>
        <w:t xml:space="preserve">труктуре программной части областного бюджета расходы </w:t>
      </w:r>
      <w:r w:rsidRPr="00FE28C5">
        <w:rPr>
          <w:rFonts w:ascii="Times New Roman" w:hAnsi="Times New Roman"/>
          <w:b/>
          <w:sz w:val="24"/>
          <w:szCs w:val="24"/>
        </w:rPr>
        <w:t>на подпрограммы (процессную часть ГП)</w:t>
      </w:r>
      <w:r w:rsidRPr="00FE28C5">
        <w:rPr>
          <w:rFonts w:ascii="Times New Roman" w:hAnsi="Times New Roman"/>
          <w:sz w:val="24"/>
          <w:szCs w:val="24"/>
        </w:rPr>
        <w:t xml:space="preserve"> составила в законопроекте на 2020 год - </w:t>
      </w:r>
      <w:r w:rsidRPr="00FE28C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51 903 930,1</w:t>
      </w:r>
      <w:r w:rsidRPr="00FE28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E28C5">
        <w:rPr>
          <w:rFonts w:ascii="Times New Roman" w:hAnsi="Times New Roman"/>
          <w:bCs/>
          <w:sz w:val="24"/>
          <w:szCs w:val="24"/>
        </w:rPr>
        <w:t xml:space="preserve">тыс.руб., на 2021 год – </w:t>
      </w:r>
      <w:r w:rsidRPr="00FE28C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53 222 819,3 </w:t>
      </w:r>
      <w:r w:rsidRPr="00FE28C5">
        <w:rPr>
          <w:rFonts w:ascii="Times New Roman" w:hAnsi="Times New Roman"/>
          <w:bCs/>
          <w:sz w:val="24"/>
          <w:szCs w:val="24"/>
        </w:rPr>
        <w:t xml:space="preserve">тыс.руб., на 2022 год – </w:t>
      </w:r>
      <w:r w:rsidRPr="00FE28C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56 508 011,2 </w:t>
      </w:r>
      <w:r w:rsidRPr="00FE28C5">
        <w:rPr>
          <w:rFonts w:ascii="Times New Roman" w:hAnsi="Times New Roman"/>
          <w:bCs/>
          <w:sz w:val="24"/>
          <w:szCs w:val="24"/>
        </w:rPr>
        <w:t xml:space="preserve">тыс.руб. или </w:t>
      </w:r>
      <w:r w:rsidRPr="00FE28C5">
        <w:rPr>
          <w:rFonts w:ascii="Times New Roman" w:hAnsi="Times New Roman"/>
          <w:b/>
          <w:bCs/>
          <w:sz w:val="24"/>
          <w:szCs w:val="24"/>
        </w:rPr>
        <w:t>91,2%,</w:t>
      </w:r>
      <w:r w:rsidRPr="00FE28C5">
        <w:rPr>
          <w:rFonts w:ascii="Times New Roman" w:hAnsi="Times New Roman"/>
          <w:bCs/>
          <w:sz w:val="24"/>
          <w:szCs w:val="24"/>
        </w:rPr>
        <w:t xml:space="preserve"> 89,1% и 90,5% от общего объема программных расходов областного бюджета соответственно, </w:t>
      </w:r>
      <w:r w:rsidRPr="00FE28C5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FE28C5">
        <w:rPr>
          <w:rFonts w:ascii="Times New Roman" w:hAnsi="Times New Roman"/>
          <w:b/>
          <w:sz w:val="24"/>
          <w:szCs w:val="24"/>
        </w:rPr>
        <w:t>проектную часть</w:t>
      </w:r>
      <w:r w:rsidRPr="00FE28C5">
        <w:rPr>
          <w:rFonts w:ascii="Times New Roman" w:hAnsi="Times New Roman"/>
          <w:sz w:val="24"/>
          <w:szCs w:val="24"/>
        </w:rPr>
        <w:t xml:space="preserve"> на 2020 год - </w:t>
      </w:r>
      <w:r w:rsidRPr="00FE28C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5 014 687,2 </w:t>
      </w:r>
      <w:r w:rsidRPr="00FE28C5">
        <w:rPr>
          <w:rFonts w:ascii="Times New Roman" w:hAnsi="Times New Roman"/>
          <w:bCs/>
          <w:sz w:val="24"/>
          <w:szCs w:val="24"/>
        </w:rPr>
        <w:t xml:space="preserve">тыс.руб., на 2021 год – </w:t>
      </w:r>
      <w:r w:rsidRPr="00FE28C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6 492 938,5 </w:t>
      </w:r>
      <w:r w:rsidRPr="00FE28C5">
        <w:rPr>
          <w:rFonts w:ascii="Times New Roman" w:hAnsi="Times New Roman"/>
          <w:bCs/>
          <w:sz w:val="24"/>
          <w:szCs w:val="24"/>
        </w:rPr>
        <w:t>тыс.руб., на 2022 год – 5 945 189,4</w:t>
      </w:r>
      <w:r w:rsidRPr="00FE28C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E28C5">
        <w:rPr>
          <w:rFonts w:ascii="Times New Roman" w:hAnsi="Times New Roman"/>
          <w:bCs/>
          <w:sz w:val="24"/>
          <w:szCs w:val="24"/>
        </w:rPr>
        <w:t xml:space="preserve">тыс.руб. или </w:t>
      </w:r>
      <w:r w:rsidRPr="00FE28C5">
        <w:rPr>
          <w:rFonts w:ascii="Times New Roman" w:hAnsi="Times New Roman"/>
          <w:b/>
          <w:bCs/>
          <w:sz w:val="24"/>
          <w:szCs w:val="24"/>
        </w:rPr>
        <w:t>8,8%</w:t>
      </w:r>
      <w:r w:rsidRPr="00FE28C5">
        <w:rPr>
          <w:rFonts w:ascii="Times New Roman" w:hAnsi="Times New Roman"/>
          <w:bCs/>
          <w:sz w:val="24"/>
          <w:szCs w:val="24"/>
        </w:rPr>
        <w:t>, 10,9% и 9,5% от общего объема программных расходов областного бюджета соответственно, что еще ярче демонстрирует недостаточность финансовых ресурсов на экономический прорыв Томской области посредством реализации региональных проектов</w:t>
      </w:r>
      <w:r w:rsidRPr="00FE28C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1E4617" w:rsidRDefault="001E4617" w:rsidP="003F23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4617" w:rsidRPr="00DC0094" w:rsidRDefault="001E4617" w:rsidP="00162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C0094">
        <w:rPr>
          <w:rFonts w:ascii="Times New Roman" w:hAnsi="Times New Roman"/>
          <w:iCs/>
          <w:sz w:val="24"/>
          <w:szCs w:val="24"/>
          <w:lang w:eastAsia="ru-RU"/>
        </w:rPr>
        <w:t>В представленной информации</w:t>
      </w:r>
      <w:r w:rsidRPr="00DC0094">
        <w:rPr>
          <w:rFonts w:ascii="Times New Roman" w:hAnsi="Times New Roman"/>
          <w:bCs/>
          <w:sz w:val="24"/>
          <w:szCs w:val="24"/>
        </w:rPr>
        <w:t xml:space="preserve"> об объемах расходов на реализацию государственных программ Томской области в 2018-2022 годах (приложение 5 к пояснительной записке) </w:t>
      </w:r>
      <w:r w:rsidRPr="00DC0094">
        <w:rPr>
          <w:rFonts w:ascii="Times New Roman" w:hAnsi="Times New Roman"/>
          <w:iCs/>
          <w:sz w:val="24"/>
          <w:szCs w:val="24"/>
          <w:lang w:eastAsia="ru-RU"/>
        </w:rPr>
        <w:t>отмечено некорректное отражение информации об объемах р</w:t>
      </w:r>
      <w:r w:rsidRPr="00DC0094">
        <w:rPr>
          <w:rFonts w:ascii="Times New Roman" w:hAnsi="Times New Roman"/>
          <w:bCs/>
          <w:sz w:val="24"/>
          <w:szCs w:val="24"/>
        </w:rPr>
        <w:t xml:space="preserve">асходов областного бюджета на 5 государственных программ в 2018 и 2019 годах, реализация которых началась с 2015 года и продолжается в 2020-2022 годах, а также отсутствие </w:t>
      </w:r>
      <w:r w:rsidRPr="00DC0094">
        <w:rPr>
          <w:rFonts w:ascii="Times New Roman" w:hAnsi="Times New Roman"/>
          <w:iCs/>
          <w:sz w:val="24"/>
          <w:szCs w:val="24"/>
          <w:lang w:eastAsia="ru-RU"/>
        </w:rPr>
        <w:t>информации о 5 госпрограммах Томской области, реализация которых прекращена с 2020 года. На основе имеющейся информации палатой произведена к</w:t>
      </w:r>
      <w:r w:rsidRPr="00DC0094">
        <w:rPr>
          <w:rFonts w:ascii="Times New Roman" w:hAnsi="Times New Roman"/>
          <w:sz w:val="24"/>
          <w:szCs w:val="24"/>
        </w:rPr>
        <w:t xml:space="preserve">орректировка </w:t>
      </w:r>
      <w:r>
        <w:rPr>
          <w:rFonts w:ascii="Times New Roman" w:hAnsi="Times New Roman"/>
          <w:sz w:val="24"/>
          <w:szCs w:val="24"/>
        </w:rPr>
        <w:t xml:space="preserve">информации из </w:t>
      </w:r>
      <w:r w:rsidRPr="00DC0094">
        <w:rPr>
          <w:rFonts w:ascii="Times New Roman" w:hAnsi="Times New Roman"/>
          <w:sz w:val="24"/>
          <w:szCs w:val="24"/>
        </w:rPr>
        <w:t>приложения 5 к пояснительной записке (</w:t>
      </w:r>
      <w:r w:rsidRPr="00DC0094">
        <w:rPr>
          <w:rFonts w:ascii="Times New Roman" w:hAnsi="Times New Roman"/>
          <w:iCs/>
          <w:sz w:val="24"/>
          <w:szCs w:val="24"/>
          <w:lang w:eastAsia="ru-RU"/>
        </w:rPr>
        <w:t>приложение 2 к настоящему заключению).</w:t>
      </w:r>
    </w:p>
    <w:p w:rsidR="001E4617" w:rsidRPr="00DC0094" w:rsidRDefault="001E4617" w:rsidP="00162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094">
        <w:rPr>
          <w:rFonts w:ascii="Times New Roman" w:hAnsi="Times New Roman"/>
          <w:bCs/>
          <w:sz w:val="24"/>
          <w:szCs w:val="24"/>
        </w:rPr>
        <w:t xml:space="preserve">Структура расходов областного бюджета на 2020-2022 годы в разрезе пяти стратегических целей </w:t>
      </w:r>
      <w:r w:rsidRPr="00DC0094">
        <w:rPr>
          <w:rFonts w:ascii="Times New Roman" w:hAnsi="Times New Roman"/>
          <w:bCs/>
          <w:iCs/>
          <w:sz w:val="24"/>
          <w:szCs w:val="24"/>
        </w:rPr>
        <w:t xml:space="preserve">социально-экономического развития Томской области </w:t>
      </w:r>
      <w:r w:rsidRPr="00DC0094">
        <w:rPr>
          <w:rFonts w:ascii="Times New Roman" w:hAnsi="Times New Roman"/>
          <w:b/>
          <w:bCs/>
          <w:iCs/>
          <w:sz w:val="24"/>
          <w:szCs w:val="24"/>
        </w:rPr>
        <w:t>сохранила социальную направленность областного бюджета</w:t>
      </w:r>
      <w:r w:rsidRPr="00DC0094">
        <w:rPr>
          <w:rFonts w:ascii="Times New Roman" w:hAnsi="Times New Roman"/>
          <w:bCs/>
          <w:iCs/>
          <w:sz w:val="24"/>
          <w:szCs w:val="24"/>
        </w:rPr>
        <w:t xml:space="preserve">, несмотря на планомерное сокращение доли расходов на 2020-2022 годы на достижение социальной цели </w:t>
      </w:r>
      <w:r w:rsidRPr="00DC0094">
        <w:rPr>
          <w:rFonts w:ascii="Times New Roman" w:hAnsi="Times New Roman"/>
          <w:bCs/>
          <w:sz w:val="24"/>
          <w:szCs w:val="24"/>
        </w:rPr>
        <w:t>3 «Повышение уровня и качества жизни населения на всей территории Томской области, нак</w:t>
      </w:r>
      <w:r w:rsidRPr="00DC0094">
        <w:rPr>
          <w:rFonts w:ascii="Times New Roman" w:hAnsi="Times New Roman"/>
          <w:sz w:val="24"/>
          <w:szCs w:val="24"/>
        </w:rPr>
        <w:t xml:space="preserve">опление человеческого капитала» </w:t>
      </w:r>
      <w:r w:rsidRPr="00DC0094">
        <w:rPr>
          <w:rFonts w:ascii="Times New Roman" w:hAnsi="Times New Roman"/>
          <w:bCs/>
          <w:iCs/>
          <w:sz w:val="24"/>
          <w:szCs w:val="24"/>
        </w:rPr>
        <w:t>в сравнении с исполнением 2018 года и ожидаемым исполнением 2019 года. В</w:t>
      </w:r>
      <w:r w:rsidRPr="00DC0094">
        <w:rPr>
          <w:rFonts w:ascii="Times New Roman" w:hAnsi="Times New Roman"/>
          <w:sz w:val="24"/>
          <w:szCs w:val="24"/>
        </w:rPr>
        <w:t xml:space="preserve"> рамках </w:t>
      </w:r>
      <w:r w:rsidRPr="00DC0094">
        <w:rPr>
          <w:rFonts w:ascii="Times New Roman" w:hAnsi="Times New Roman"/>
          <w:bCs/>
          <w:iCs/>
          <w:sz w:val="24"/>
          <w:szCs w:val="24"/>
        </w:rPr>
        <w:t>ц</w:t>
      </w:r>
      <w:r w:rsidRPr="00DC0094">
        <w:rPr>
          <w:rFonts w:ascii="Times New Roman" w:hAnsi="Times New Roman"/>
          <w:bCs/>
          <w:sz w:val="24"/>
          <w:szCs w:val="24"/>
        </w:rPr>
        <w:t xml:space="preserve">ели 3 </w:t>
      </w:r>
      <w:r w:rsidRPr="00DC0094">
        <w:rPr>
          <w:rFonts w:ascii="Times New Roman" w:hAnsi="Times New Roman"/>
          <w:bCs/>
          <w:iCs/>
          <w:sz w:val="24"/>
          <w:szCs w:val="24"/>
        </w:rPr>
        <w:t xml:space="preserve">доля расходов областного бюджета </w:t>
      </w:r>
      <w:r w:rsidRPr="00DC0094">
        <w:rPr>
          <w:rFonts w:ascii="Times New Roman" w:hAnsi="Times New Roman"/>
          <w:sz w:val="24"/>
          <w:szCs w:val="24"/>
        </w:rPr>
        <w:t>на реализацию 8 государственных программ</w:t>
      </w:r>
      <w:r w:rsidRPr="00DC0094">
        <w:rPr>
          <w:rFonts w:ascii="Times New Roman" w:hAnsi="Times New Roman"/>
          <w:bCs/>
          <w:iCs/>
          <w:sz w:val="24"/>
          <w:szCs w:val="24"/>
        </w:rPr>
        <w:t xml:space="preserve"> на 2020-2022 годы </w:t>
      </w:r>
      <w:r w:rsidRPr="00DC0094">
        <w:rPr>
          <w:rFonts w:ascii="Times New Roman" w:hAnsi="Times New Roman"/>
          <w:sz w:val="24"/>
          <w:szCs w:val="24"/>
        </w:rPr>
        <w:t xml:space="preserve">предусмотрена </w:t>
      </w:r>
      <w:r w:rsidRPr="00DC0094">
        <w:rPr>
          <w:rFonts w:ascii="Times New Roman" w:hAnsi="Times New Roman"/>
          <w:bCs/>
          <w:iCs/>
          <w:sz w:val="24"/>
          <w:szCs w:val="24"/>
        </w:rPr>
        <w:t>в размере</w:t>
      </w:r>
      <w:r w:rsidRPr="00DC0094">
        <w:rPr>
          <w:rFonts w:ascii="Times New Roman" w:hAnsi="Times New Roman"/>
          <w:sz w:val="24"/>
          <w:szCs w:val="24"/>
        </w:rPr>
        <w:t xml:space="preserve"> 70,7%, 66,3%, 62,0% соответственно, при этом доля расходов на реализацию 11 государственных программ на 2018 год по этой же цели составила 72,5%, исполнение за 2019 год ожидается в размере 70,9%.</w:t>
      </w:r>
    </w:p>
    <w:p w:rsidR="001E4617" w:rsidRPr="00DC0094" w:rsidRDefault="001E4617" w:rsidP="00162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094">
        <w:rPr>
          <w:rFonts w:ascii="Times New Roman" w:hAnsi="Times New Roman"/>
          <w:sz w:val="24"/>
          <w:szCs w:val="24"/>
        </w:rPr>
        <w:t>Планомерное снижение доли расходов в 2020-2022 годах отмечено также по стратегической цели 1 «</w:t>
      </w:r>
      <w:r w:rsidRPr="00DC0094">
        <w:rPr>
          <w:rFonts w:ascii="Times New Roman" w:hAnsi="Times New Roman"/>
          <w:bCs/>
          <w:sz w:val="24"/>
          <w:szCs w:val="24"/>
          <w:lang w:eastAsia="ru-RU"/>
        </w:rPr>
        <w:t>Реализация модели интенсивного развития, включая развитие высокотехнологичных производств на основе потенциала научно-образовательного комплекса, создание условий для инвестиций, развитие предпринимательства</w:t>
      </w:r>
      <w:r w:rsidRPr="00DC0094">
        <w:rPr>
          <w:rFonts w:ascii="Times New Roman" w:hAnsi="Times New Roman"/>
          <w:sz w:val="24"/>
          <w:szCs w:val="24"/>
        </w:rPr>
        <w:t>» (с 2,1% в 2019 году до 1,7%, 1,5% и 1,4% в 2020-2022 годах соответственно) и стратегической цели 2 «</w:t>
      </w:r>
      <w:r w:rsidRPr="00DC0094">
        <w:rPr>
          <w:rFonts w:ascii="Times New Roman" w:hAnsi="Times New Roman"/>
          <w:bCs/>
          <w:sz w:val="24"/>
          <w:szCs w:val="24"/>
          <w:lang w:eastAsia="ru-RU"/>
        </w:rPr>
        <w:t>Рациональное использование природного капитала Томской области, устойчивое развитие агропромышленного комплекса</w:t>
      </w:r>
      <w:r w:rsidRPr="00DC0094">
        <w:rPr>
          <w:rFonts w:ascii="Times New Roman" w:hAnsi="Times New Roman"/>
          <w:sz w:val="24"/>
          <w:szCs w:val="24"/>
        </w:rPr>
        <w:t>» (с 4,3% в 2019 году до 3,2%, 3,0% и 2,7% в 2020-2022 годах соответственно).</w:t>
      </w:r>
    </w:p>
    <w:p w:rsidR="001E4617" w:rsidRPr="00DC0094" w:rsidRDefault="001E4617" w:rsidP="00162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094">
        <w:rPr>
          <w:rFonts w:ascii="Times New Roman" w:hAnsi="Times New Roman"/>
          <w:sz w:val="24"/>
          <w:szCs w:val="24"/>
        </w:rPr>
        <w:t xml:space="preserve">Наряду с расходами </w:t>
      </w:r>
      <w:r w:rsidRPr="00DC0094">
        <w:rPr>
          <w:rFonts w:ascii="Times New Roman" w:hAnsi="Times New Roman"/>
          <w:bCs/>
          <w:iCs/>
          <w:sz w:val="24"/>
          <w:szCs w:val="24"/>
        </w:rPr>
        <w:t>областного бюджета</w:t>
      </w:r>
      <w:r w:rsidRPr="00DC0094">
        <w:rPr>
          <w:rFonts w:ascii="Times New Roman" w:hAnsi="Times New Roman"/>
          <w:sz w:val="24"/>
          <w:szCs w:val="24"/>
        </w:rPr>
        <w:t xml:space="preserve"> на социальную цель 3, </w:t>
      </w:r>
      <w:r w:rsidRPr="00DC0094">
        <w:rPr>
          <w:rFonts w:ascii="Times New Roman" w:hAnsi="Times New Roman"/>
          <w:bCs/>
          <w:iCs/>
          <w:sz w:val="24"/>
          <w:szCs w:val="24"/>
        </w:rPr>
        <w:t>значительная доля (</w:t>
      </w:r>
      <w:r w:rsidRPr="00DC0094">
        <w:rPr>
          <w:rFonts w:ascii="Times New Roman" w:hAnsi="Times New Roman"/>
          <w:sz w:val="24"/>
          <w:szCs w:val="24"/>
        </w:rPr>
        <w:t>14,0%, 16,8% и 21,1% на 2020-2022 годы соответственно)</w:t>
      </w:r>
      <w:r w:rsidRPr="00DC0094">
        <w:rPr>
          <w:rFonts w:ascii="Times New Roman" w:hAnsi="Times New Roman"/>
          <w:bCs/>
          <w:iCs/>
          <w:sz w:val="24"/>
          <w:szCs w:val="24"/>
        </w:rPr>
        <w:t xml:space="preserve"> запланирована традиционно на достижение стратегической </w:t>
      </w:r>
      <w:r w:rsidRPr="00DC0094">
        <w:rPr>
          <w:rFonts w:ascii="Times New Roman" w:hAnsi="Times New Roman"/>
          <w:bCs/>
          <w:sz w:val="24"/>
          <w:szCs w:val="24"/>
        </w:rPr>
        <w:t>цели 5 «Эф</w:t>
      </w:r>
      <w:r w:rsidRPr="00DC0094">
        <w:rPr>
          <w:rFonts w:ascii="Times New Roman" w:hAnsi="Times New Roman"/>
          <w:sz w:val="24"/>
          <w:szCs w:val="24"/>
        </w:rPr>
        <w:t>фективное управление регионом», в рамках которой предусмотрена реализация 4-х государственных программ</w:t>
      </w:r>
      <w:r w:rsidRPr="00DC0094">
        <w:rPr>
          <w:rFonts w:ascii="Times New Roman" w:hAnsi="Times New Roman"/>
          <w:bCs/>
          <w:iCs/>
          <w:sz w:val="24"/>
          <w:szCs w:val="24"/>
        </w:rPr>
        <w:t>.</w:t>
      </w:r>
    </w:p>
    <w:p w:rsidR="001E4617" w:rsidRDefault="001E4617" w:rsidP="00162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094">
        <w:rPr>
          <w:rFonts w:ascii="Times New Roman" w:hAnsi="Times New Roman"/>
          <w:sz w:val="24"/>
          <w:szCs w:val="24"/>
        </w:rPr>
        <w:t>Планомерное увеличение доли расходов в периоде 2021-2022 годов отмечено также по стратегической цели 4 «</w:t>
      </w:r>
      <w:r w:rsidRPr="00DC0094">
        <w:rPr>
          <w:rFonts w:ascii="Times New Roman" w:hAnsi="Times New Roman"/>
          <w:bCs/>
          <w:sz w:val="24"/>
          <w:szCs w:val="24"/>
        </w:rPr>
        <w:t xml:space="preserve">Сбалансированное территориальное развитие за счет развития </w:t>
      </w:r>
      <w:r w:rsidRPr="00DC0094">
        <w:rPr>
          <w:rFonts w:ascii="Times New Roman" w:hAnsi="Times New Roman"/>
          <w:bCs/>
          <w:sz w:val="24"/>
          <w:szCs w:val="24"/>
        </w:rPr>
        <w:lastRenderedPageBreak/>
        <w:t>инфраструктуры в Томской области</w:t>
      </w:r>
      <w:r w:rsidRPr="00DC0094">
        <w:rPr>
          <w:rFonts w:ascii="Times New Roman" w:hAnsi="Times New Roman"/>
          <w:sz w:val="24"/>
          <w:szCs w:val="24"/>
        </w:rPr>
        <w:t>» (с 10,3% в 2019 году и 2020 году, до 12,5% и 12,8% в 2021-2022 годах соответственно).</w:t>
      </w:r>
    </w:p>
    <w:p w:rsidR="001E4617" w:rsidRDefault="001E4617" w:rsidP="00162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617" w:rsidRPr="00DC0094" w:rsidRDefault="001E4617" w:rsidP="00DC009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C0094">
        <w:rPr>
          <w:rFonts w:ascii="Times New Roman" w:hAnsi="Times New Roman"/>
          <w:b/>
          <w:bCs/>
          <w:sz w:val="24"/>
          <w:szCs w:val="24"/>
        </w:rPr>
        <w:t xml:space="preserve">Структура расходов проекта областного бюджета на 2020-2022 годы в разрезе пяти стратегических целей </w:t>
      </w:r>
      <w:r w:rsidRPr="00DC0094">
        <w:rPr>
          <w:rFonts w:ascii="Times New Roman" w:hAnsi="Times New Roman"/>
          <w:b/>
          <w:bCs/>
          <w:iCs/>
          <w:sz w:val="24"/>
          <w:szCs w:val="24"/>
        </w:rPr>
        <w:t>социально-экономического развития Томской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60"/>
        <w:gridCol w:w="1072"/>
        <w:gridCol w:w="1075"/>
        <w:gridCol w:w="1075"/>
        <w:gridCol w:w="1075"/>
        <w:gridCol w:w="1081"/>
      </w:tblGrid>
      <w:tr w:rsidR="001E4617" w:rsidRPr="00DC0094" w:rsidTr="00EF4803">
        <w:trPr>
          <w:trHeight w:val="315"/>
        </w:trPr>
        <w:tc>
          <w:tcPr>
            <w:tcW w:w="2348" w:type="pct"/>
            <w:vMerge w:val="restart"/>
            <w:vAlign w:val="center"/>
          </w:tcPr>
          <w:p w:rsidR="001E4617" w:rsidRPr="00DC0094" w:rsidRDefault="001E4617" w:rsidP="00DC0094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00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 w:rsidRPr="00DC00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стратегических целей </w:t>
            </w:r>
            <w:r w:rsidRPr="00DC009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социально-экономического развития</w:t>
            </w:r>
            <w:r w:rsidRPr="00DC00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2652" w:type="pct"/>
            <w:gridSpan w:val="5"/>
            <w:vAlign w:val="center"/>
          </w:tcPr>
          <w:p w:rsidR="001E4617" w:rsidRPr="00DC0094" w:rsidRDefault="001E4617" w:rsidP="00DC009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0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Структура расходов, %</w:t>
            </w:r>
          </w:p>
        </w:tc>
      </w:tr>
      <w:tr w:rsidR="001E4617" w:rsidRPr="00DC0094" w:rsidTr="00EF4803">
        <w:trPr>
          <w:trHeight w:val="315"/>
        </w:trPr>
        <w:tc>
          <w:tcPr>
            <w:tcW w:w="2348" w:type="pct"/>
            <w:vMerge/>
            <w:vAlign w:val="center"/>
          </w:tcPr>
          <w:p w:rsidR="001E4617" w:rsidRPr="00DC0094" w:rsidRDefault="001E4617" w:rsidP="00DC0094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Align w:val="center"/>
          </w:tcPr>
          <w:p w:rsidR="001E4617" w:rsidRPr="00DC0094" w:rsidRDefault="001E4617" w:rsidP="00DC0094">
            <w:pPr>
              <w:spacing w:after="0" w:line="288" w:lineRule="auto"/>
              <w:ind w:left="-147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0094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за 2018 год</w:t>
            </w:r>
          </w:p>
        </w:tc>
        <w:tc>
          <w:tcPr>
            <w:tcW w:w="530" w:type="pct"/>
            <w:vAlign w:val="center"/>
          </w:tcPr>
          <w:p w:rsidR="001E4617" w:rsidRPr="00DC0094" w:rsidRDefault="001E4617" w:rsidP="00DC0094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0094">
              <w:rPr>
                <w:rFonts w:ascii="Times New Roman" w:hAnsi="Times New Roman"/>
                <w:sz w:val="20"/>
                <w:szCs w:val="20"/>
                <w:lang w:eastAsia="ru-RU"/>
              </w:rPr>
              <w:t>Ожидаемое исполнение за 2019 год</w:t>
            </w:r>
          </w:p>
        </w:tc>
        <w:tc>
          <w:tcPr>
            <w:tcW w:w="530" w:type="pct"/>
            <w:vAlign w:val="center"/>
          </w:tcPr>
          <w:p w:rsidR="001E4617" w:rsidRPr="00DC0094" w:rsidRDefault="001E4617" w:rsidP="00DC0094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0094">
              <w:rPr>
                <w:rFonts w:ascii="Times New Roman" w:hAnsi="Times New Roman"/>
                <w:sz w:val="20"/>
                <w:szCs w:val="20"/>
                <w:lang w:eastAsia="ru-RU"/>
              </w:rPr>
              <w:t>Проект на 2020 год</w:t>
            </w:r>
          </w:p>
        </w:tc>
        <w:tc>
          <w:tcPr>
            <w:tcW w:w="530" w:type="pct"/>
            <w:vAlign w:val="center"/>
          </w:tcPr>
          <w:p w:rsidR="001E4617" w:rsidRPr="00DC0094" w:rsidRDefault="001E4617" w:rsidP="00DC0094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0094">
              <w:rPr>
                <w:rFonts w:ascii="Times New Roman" w:hAnsi="Times New Roman"/>
                <w:sz w:val="20"/>
                <w:szCs w:val="20"/>
                <w:lang w:eastAsia="ru-RU"/>
              </w:rPr>
              <w:t>Проект на 2021 год</w:t>
            </w:r>
          </w:p>
        </w:tc>
        <w:tc>
          <w:tcPr>
            <w:tcW w:w="533" w:type="pct"/>
            <w:vAlign w:val="center"/>
          </w:tcPr>
          <w:p w:rsidR="001E4617" w:rsidRPr="00DC0094" w:rsidRDefault="001E4617" w:rsidP="00DC0094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0094">
              <w:rPr>
                <w:rFonts w:ascii="Times New Roman" w:hAnsi="Times New Roman"/>
                <w:sz w:val="20"/>
                <w:szCs w:val="20"/>
                <w:lang w:eastAsia="ru-RU"/>
              </w:rPr>
              <w:t>Проект на 2022 год</w:t>
            </w:r>
          </w:p>
        </w:tc>
      </w:tr>
      <w:tr w:rsidR="001E4617" w:rsidRPr="00DC0094" w:rsidTr="00EF4803">
        <w:trPr>
          <w:trHeight w:val="315"/>
        </w:trPr>
        <w:tc>
          <w:tcPr>
            <w:tcW w:w="2348" w:type="pct"/>
            <w:vAlign w:val="center"/>
          </w:tcPr>
          <w:p w:rsidR="001E4617" w:rsidRPr="00DC0094" w:rsidRDefault="001E4617" w:rsidP="00DC0094">
            <w:pPr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C009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29" w:type="pct"/>
            <w:vAlign w:val="center"/>
          </w:tcPr>
          <w:p w:rsidR="001E4617" w:rsidRPr="00DC0094" w:rsidRDefault="001E4617" w:rsidP="00DC0094">
            <w:pPr>
              <w:spacing w:after="0" w:line="288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C009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30" w:type="pct"/>
            <w:vAlign w:val="center"/>
          </w:tcPr>
          <w:p w:rsidR="001E4617" w:rsidRPr="00DC0094" w:rsidRDefault="001E4617" w:rsidP="00DC0094">
            <w:pPr>
              <w:spacing w:after="0" w:line="288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C009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30" w:type="pct"/>
            <w:vAlign w:val="center"/>
          </w:tcPr>
          <w:p w:rsidR="001E4617" w:rsidRPr="00DC0094" w:rsidRDefault="001E4617" w:rsidP="00DC0094">
            <w:pPr>
              <w:spacing w:after="0" w:line="288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C009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30" w:type="pct"/>
            <w:vAlign w:val="center"/>
          </w:tcPr>
          <w:p w:rsidR="001E4617" w:rsidRPr="00DC0094" w:rsidRDefault="001E4617" w:rsidP="00DC0094">
            <w:pPr>
              <w:spacing w:after="0" w:line="288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C009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33" w:type="pct"/>
            <w:vAlign w:val="center"/>
          </w:tcPr>
          <w:p w:rsidR="001E4617" w:rsidRPr="00DC0094" w:rsidRDefault="001E4617" w:rsidP="00DC0094">
            <w:pPr>
              <w:spacing w:after="0" w:line="288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C009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E4617" w:rsidRPr="00DC0094" w:rsidTr="00EF4803">
        <w:trPr>
          <w:trHeight w:val="300"/>
        </w:trPr>
        <w:tc>
          <w:tcPr>
            <w:tcW w:w="2348" w:type="pct"/>
            <w:vAlign w:val="center"/>
          </w:tcPr>
          <w:p w:rsidR="001E4617" w:rsidRPr="00DC0094" w:rsidRDefault="001E4617" w:rsidP="00DC0094">
            <w:pPr>
              <w:spacing w:after="0" w:line="288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C009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29" w:type="pct"/>
            <w:vAlign w:val="center"/>
          </w:tcPr>
          <w:p w:rsidR="001E4617" w:rsidRPr="00DC0094" w:rsidRDefault="001E4617" w:rsidP="00DC0094">
            <w:pPr>
              <w:spacing w:after="0" w:line="288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C009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vAlign w:val="center"/>
          </w:tcPr>
          <w:p w:rsidR="001E4617" w:rsidRPr="00DC0094" w:rsidRDefault="001E4617" w:rsidP="00DC0094">
            <w:pPr>
              <w:spacing w:after="0" w:line="288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C009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vAlign w:val="center"/>
          </w:tcPr>
          <w:p w:rsidR="001E4617" w:rsidRPr="00DC0094" w:rsidRDefault="001E4617" w:rsidP="00DC0094">
            <w:pPr>
              <w:spacing w:after="0" w:line="288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C009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vAlign w:val="center"/>
          </w:tcPr>
          <w:p w:rsidR="001E4617" w:rsidRPr="00DC0094" w:rsidRDefault="001E4617" w:rsidP="00DC0094">
            <w:pPr>
              <w:spacing w:after="0" w:line="288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C009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vAlign w:val="center"/>
          </w:tcPr>
          <w:p w:rsidR="001E4617" w:rsidRPr="00DC0094" w:rsidRDefault="001E4617" w:rsidP="00DC0094">
            <w:pPr>
              <w:spacing w:after="0" w:line="288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C009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E4617" w:rsidRPr="00DC0094" w:rsidTr="00EF4803">
        <w:trPr>
          <w:trHeight w:val="1364"/>
        </w:trPr>
        <w:tc>
          <w:tcPr>
            <w:tcW w:w="2348" w:type="pct"/>
            <w:vAlign w:val="center"/>
          </w:tcPr>
          <w:p w:rsidR="001E4617" w:rsidRPr="00DC0094" w:rsidRDefault="001E4617" w:rsidP="00DC009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C009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 Цель Стратегии СЭР «Реализация модели интенсивного развития, включая развитие высокотехнологичных производств на основе потенциала научно-образовательного комплекса, создание условий для инвестиций, развитие предпринимательства»</w:t>
            </w:r>
            <w:r w:rsidRPr="00DC0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(в рамках цели реализуется: - на 2018 - 4 ГП, на 2019-2021 – 3 ГП; на 2020-2022 – 3 ГП)</w:t>
            </w:r>
          </w:p>
        </w:tc>
        <w:tc>
          <w:tcPr>
            <w:tcW w:w="529" w:type="pct"/>
            <w:vAlign w:val="center"/>
          </w:tcPr>
          <w:p w:rsidR="001E4617" w:rsidRPr="00DC0094" w:rsidRDefault="001E4617" w:rsidP="00DC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C00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30" w:type="pct"/>
            <w:vAlign w:val="center"/>
          </w:tcPr>
          <w:p w:rsidR="001E4617" w:rsidRPr="00DC0094" w:rsidRDefault="001E4617" w:rsidP="00DC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C00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530" w:type="pct"/>
            <w:vAlign w:val="center"/>
          </w:tcPr>
          <w:p w:rsidR="001E4617" w:rsidRPr="00DC0094" w:rsidRDefault="001E4617" w:rsidP="00DC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C00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530" w:type="pct"/>
            <w:vAlign w:val="center"/>
          </w:tcPr>
          <w:p w:rsidR="001E4617" w:rsidRPr="00DC0094" w:rsidRDefault="001E4617" w:rsidP="00DC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C00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33" w:type="pct"/>
            <w:vAlign w:val="center"/>
          </w:tcPr>
          <w:p w:rsidR="001E4617" w:rsidRPr="00DC0094" w:rsidRDefault="001E4617" w:rsidP="00DC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C00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1E4617" w:rsidRPr="00DC0094" w:rsidTr="00EF4803">
        <w:trPr>
          <w:trHeight w:val="274"/>
        </w:trPr>
        <w:tc>
          <w:tcPr>
            <w:tcW w:w="2348" w:type="pct"/>
            <w:vAlign w:val="center"/>
          </w:tcPr>
          <w:p w:rsidR="001E4617" w:rsidRPr="00DC0094" w:rsidRDefault="001E4617" w:rsidP="00DC009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C009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2. Цель Стратегии СЭР «Рациональное использование природного капитала Томской области, устойчивое развитие агропромышленного комплекса» </w:t>
            </w:r>
            <w:r w:rsidRPr="00DC0094">
              <w:rPr>
                <w:rFonts w:ascii="Times New Roman" w:hAnsi="Times New Roman"/>
                <w:sz w:val="20"/>
                <w:szCs w:val="20"/>
                <w:lang w:eastAsia="ru-RU"/>
              </w:rPr>
              <w:t>(в рамках цели реализуется: на 2019-2021 – 3 ГП; на 2020-2022 – 4 ГП)</w:t>
            </w:r>
          </w:p>
        </w:tc>
        <w:tc>
          <w:tcPr>
            <w:tcW w:w="529" w:type="pct"/>
            <w:vAlign w:val="center"/>
          </w:tcPr>
          <w:p w:rsidR="001E4617" w:rsidRPr="00DC0094" w:rsidRDefault="001E4617" w:rsidP="00DC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C00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530" w:type="pct"/>
            <w:vAlign w:val="center"/>
          </w:tcPr>
          <w:p w:rsidR="001E4617" w:rsidRPr="00DC0094" w:rsidRDefault="001E4617" w:rsidP="00DC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C00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530" w:type="pct"/>
            <w:vAlign w:val="center"/>
          </w:tcPr>
          <w:p w:rsidR="001E4617" w:rsidRPr="00DC0094" w:rsidRDefault="001E4617" w:rsidP="00DC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C00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530" w:type="pct"/>
            <w:vAlign w:val="center"/>
          </w:tcPr>
          <w:p w:rsidR="001E4617" w:rsidRPr="00DC0094" w:rsidRDefault="001E4617" w:rsidP="00DC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C00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533" w:type="pct"/>
            <w:vAlign w:val="center"/>
          </w:tcPr>
          <w:p w:rsidR="001E4617" w:rsidRPr="00DC0094" w:rsidRDefault="001E4617" w:rsidP="00DC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C00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2,7</w:t>
            </w:r>
          </w:p>
        </w:tc>
      </w:tr>
      <w:tr w:rsidR="001E4617" w:rsidRPr="00DC0094" w:rsidTr="00EF4803">
        <w:trPr>
          <w:trHeight w:val="1124"/>
        </w:trPr>
        <w:tc>
          <w:tcPr>
            <w:tcW w:w="2348" w:type="pct"/>
          </w:tcPr>
          <w:p w:rsidR="001E4617" w:rsidRPr="00DC0094" w:rsidRDefault="001E4617" w:rsidP="00DC009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C009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3. Цель Стратегии СЭР «Повышение уровня и качества жизни населения на всей территории Томской области, накопление человеческого капитала» </w:t>
            </w:r>
            <w:r w:rsidRPr="00DC0094">
              <w:rPr>
                <w:rFonts w:ascii="Times New Roman" w:hAnsi="Times New Roman"/>
                <w:sz w:val="20"/>
                <w:szCs w:val="20"/>
                <w:lang w:eastAsia="ru-RU"/>
              </w:rPr>
              <w:t>(в рамках цели реализуется - на 2015 и 2016 - 9 ГП, на 2017 - 10 ГП, на 2018-2019 - 11 ГП, на 2020 – 10 ГП, на-2021 – 9 ГП; на 2020-2022 – 8 ГП)</w:t>
            </w:r>
          </w:p>
        </w:tc>
        <w:tc>
          <w:tcPr>
            <w:tcW w:w="529" w:type="pct"/>
            <w:vAlign w:val="center"/>
          </w:tcPr>
          <w:p w:rsidR="001E4617" w:rsidRPr="00DC0094" w:rsidRDefault="001E4617" w:rsidP="00DC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C00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530" w:type="pct"/>
            <w:vAlign w:val="center"/>
          </w:tcPr>
          <w:p w:rsidR="001E4617" w:rsidRPr="00DC0094" w:rsidRDefault="001E4617" w:rsidP="00DC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C00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530" w:type="pct"/>
            <w:vAlign w:val="center"/>
          </w:tcPr>
          <w:p w:rsidR="001E4617" w:rsidRPr="00DC0094" w:rsidRDefault="001E4617" w:rsidP="00DC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C00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530" w:type="pct"/>
            <w:vAlign w:val="center"/>
          </w:tcPr>
          <w:p w:rsidR="001E4617" w:rsidRPr="00DC0094" w:rsidRDefault="001E4617" w:rsidP="00DC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C00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533" w:type="pct"/>
            <w:vAlign w:val="center"/>
          </w:tcPr>
          <w:p w:rsidR="001E4617" w:rsidRPr="00DC0094" w:rsidRDefault="001E4617" w:rsidP="00DC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C00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62,0</w:t>
            </w:r>
          </w:p>
        </w:tc>
      </w:tr>
      <w:tr w:rsidR="001E4617" w:rsidRPr="00DC0094" w:rsidTr="00EF4803">
        <w:trPr>
          <w:trHeight w:val="273"/>
        </w:trPr>
        <w:tc>
          <w:tcPr>
            <w:tcW w:w="2348" w:type="pct"/>
          </w:tcPr>
          <w:p w:rsidR="001E4617" w:rsidRPr="00DC0094" w:rsidRDefault="001E4617" w:rsidP="00DC009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C009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4. Цель Стратегии СЭР «Сбалансированное территориальное развитие за счет развития инфраструктуры в Томской области» </w:t>
            </w:r>
            <w:r w:rsidRPr="00DC0094">
              <w:rPr>
                <w:rFonts w:ascii="Times New Roman" w:hAnsi="Times New Roman"/>
                <w:sz w:val="20"/>
                <w:szCs w:val="20"/>
                <w:lang w:eastAsia="ru-RU"/>
              </w:rPr>
              <w:t>(в рамках цели реализуется: на 2019-2021 – 3 ГП; на 2020-2022 – 2 ГП)</w:t>
            </w:r>
          </w:p>
        </w:tc>
        <w:tc>
          <w:tcPr>
            <w:tcW w:w="529" w:type="pct"/>
            <w:vAlign w:val="center"/>
          </w:tcPr>
          <w:p w:rsidR="001E4617" w:rsidRPr="00DC0094" w:rsidRDefault="001E4617" w:rsidP="00DC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C00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7,4</w:t>
            </w:r>
          </w:p>
        </w:tc>
        <w:tc>
          <w:tcPr>
            <w:tcW w:w="530" w:type="pct"/>
            <w:vAlign w:val="center"/>
          </w:tcPr>
          <w:p w:rsidR="001E4617" w:rsidRPr="00DC0094" w:rsidRDefault="001E4617" w:rsidP="00DC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C00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530" w:type="pct"/>
            <w:vAlign w:val="center"/>
          </w:tcPr>
          <w:p w:rsidR="001E4617" w:rsidRPr="00DC0094" w:rsidRDefault="001E4617" w:rsidP="00DC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C00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530" w:type="pct"/>
            <w:vAlign w:val="center"/>
          </w:tcPr>
          <w:p w:rsidR="001E4617" w:rsidRPr="00DC0094" w:rsidRDefault="001E4617" w:rsidP="00DC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C00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33" w:type="pct"/>
            <w:vAlign w:val="center"/>
          </w:tcPr>
          <w:p w:rsidR="001E4617" w:rsidRPr="00DC0094" w:rsidRDefault="001E4617" w:rsidP="00DC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C00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12,8</w:t>
            </w:r>
          </w:p>
        </w:tc>
      </w:tr>
      <w:tr w:rsidR="001E4617" w:rsidRPr="00DC0094" w:rsidTr="00EF4803">
        <w:trPr>
          <w:trHeight w:val="457"/>
        </w:trPr>
        <w:tc>
          <w:tcPr>
            <w:tcW w:w="2348" w:type="pct"/>
          </w:tcPr>
          <w:p w:rsidR="001E4617" w:rsidRPr="00DC0094" w:rsidRDefault="001E4617" w:rsidP="00DC0094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C009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5. Цель Стратегии СЭР «Эффективное управление регионом»</w:t>
            </w:r>
            <w:r w:rsidRPr="00DC0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(в рамках цели реализуется 4 ГП)</w:t>
            </w:r>
          </w:p>
        </w:tc>
        <w:tc>
          <w:tcPr>
            <w:tcW w:w="529" w:type="pct"/>
            <w:vAlign w:val="center"/>
          </w:tcPr>
          <w:p w:rsidR="001E4617" w:rsidRPr="00DC0094" w:rsidRDefault="001E4617" w:rsidP="00DC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C00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530" w:type="pct"/>
            <w:vAlign w:val="center"/>
          </w:tcPr>
          <w:p w:rsidR="001E4617" w:rsidRPr="00DC0094" w:rsidRDefault="001E4617" w:rsidP="00DC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C00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530" w:type="pct"/>
            <w:vAlign w:val="center"/>
          </w:tcPr>
          <w:p w:rsidR="001E4617" w:rsidRPr="00DC0094" w:rsidRDefault="001E4617" w:rsidP="00DC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C00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530" w:type="pct"/>
            <w:vAlign w:val="center"/>
          </w:tcPr>
          <w:p w:rsidR="001E4617" w:rsidRPr="00DC0094" w:rsidRDefault="001E4617" w:rsidP="00DC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C00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533" w:type="pct"/>
            <w:vAlign w:val="center"/>
          </w:tcPr>
          <w:p w:rsidR="001E4617" w:rsidRPr="00DC0094" w:rsidRDefault="001E4617" w:rsidP="00DC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C00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21,1</w:t>
            </w:r>
          </w:p>
        </w:tc>
      </w:tr>
    </w:tbl>
    <w:p w:rsidR="001E4617" w:rsidRPr="00DC0094" w:rsidRDefault="001E4617" w:rsidP="00DC0094">
      <w:pPr>
        <w:spacing w:after="0" w:line="288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1E4617" w:rsidRPr="00DC0094" w:rsidRDefault="001E4617" w:rsidP="00DC009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C0094">
        <w:rPr>
          <w:rFonts w:ascii="Times New Roman" w:hAnsi="Times New Roman"/>
          <w:bCs/>
          <w:sz w:val="24"/>
          <w:szCs w:val="24"/>
        </w:rPr>
        <w:t>Структура расходов областного бюджета на каждую государственную программу в разрезе стратегических целей Томской области к общему объему программных расходов на 2018-2022 годы,</w:t>
      </w:r>
      <w:r w:rsidRPr="00DC0094">
        <w:rPr>
          <w:rFonts w:ascii="Times New Roman" w:hAnsi="Times New Roman"/>
          <w:iCs/>
          <w:sz w:val="24"/>
          <w:szCs w:val="24"/>
          <w:lang w:eastAsia="ru-RU"/>
        </w:rPr>
        <w:t xml:space="preserve"> сформированная </w:t>
      </w:r>
      <w:r w:rsidRPr="00DC0094">
        <w:rPr>
          <w:rFonts w:ascii="Times New Roman" w:hAnsi="Times New Roman"/>
          <w:sz w:val="24"/>
          <w:szCs w:val="24"/>
        </w:rPr>
        <w:t>на основе наименований ГП из Перечней ГП на 2019 год и на 2020 год,</w:t>
      </w:r>
      <w:r w:rsidRPr="00DC0094">
        <w:rPr>
          <w:rFonts w:ascii="Times New Roman" w:hAnsi="Times New Roman"/>
          <w:iCs/>
          <w:sz w:val="24"/>
          <w:szCs w:val="24"/>
          <w:lang w:eastAsia="ru-RU"/>
        </w:rPr>
        <w:t xml:space="preserve"> представлена в приложении 3.</w:t>
      </w:r>
    </w:p>
    <w:p w:rsidR="001E4617" w:rsidRDefault="001E4617" w:rsidP="00DC0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1E4617" w:rsidRPr="003F23A5" w:rsidRDefault="001E4617" w:rsidP="00DC0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C0094">
        <w:rPr>
          <w:rFonts w:ascii="Times New Roman" w:hAnsi="Times New Roman"/>
          <w:b/>
          <w:sz w:val="24"/>
          <w:szCs w:val="24"/>
          <w:lang w:eastAsia="ar-SA"/>
        </w:rPr>
        <w:t>6.3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F23A5">
        <w:rPr>
          <w:rFonts w:ascii="Times New Roman" w:hAnsi="Times New Roman"/>
          <w:sz w:val="24"/>
          <w:szCs w:val="24"/>
          <w:lang w:eastAsia="ar-SA"/>
        </w:rPr>
        <w:t xml:space="preserve">В проекте закона расходы по </w:t>
      </w:r>
      <w:r w:rsidRPr="003F23A5">
        <w:rPr>
          <w:rFonts w:ascii="Times New Roman" w:hAnsi="Times New Roman"/>
          <w:b/>
          <w:sz w:val="24"/>
          <w:szCs w:val="24"/>
          <w:lang w:eastAsia="ar-SA"/>
        </w:rPr>
        <w:t xml:space="preserve">ГП «Развитие здравоохранения в Томской области» </w:t>
      </w:r>
      <w:r w:rsidRPr="003F23A5">
        <w:rPr>
          <w:rFonts w:ascii="Times New Roman" w:hAnsi="Times New Roman"/>
          <w:sz w:val="24"/>
          <w:szCs w:val="24"/>
          <w:lang w:eastAsia="ar-SA"/>
        </w:rPr>
        <w:t xml:space="preserve">предусмотрены в сумме 10 342,6 млн.руб., из них по отдельным подпрограммам на финансирование областной Программы государственных гарантий бесплатного оказания гражданам медицинской помощи на территории Томской области 4 137,3 млн.руб. </w:t>
      </w:r>
    </w:p>
    <w:p w:rsidR="001E4617" w:rsidRPr="003F23A5" w:rsidRDefault="001E4617" w:rsidP="003F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F23A5">
        <w:rPr>
          <w:rFonts w:ascii="Times New Roman" w:hAnsi="Times New Roman"/>
          <w:sz w:val="24"/>
          <w:szCs w:val="24"/>
          <w:lang w:eastAsia="ar-SA"/>
        </w:rPr>
        <w:lastRenderedPageBreak/>
        <w:t>Однако исходя из прогнозной численности населения Томской области на 01.01.2020 – 1 077 858 чел. (из них численность застрахованных – 1 052 848 чел.), коэффициента дифференциации 1,344 (рекомендованного к применению в 2019 году письмом</w:t>
      </w:r>
      <w:r w:rsidRPr="003F23A5">
        <w:rPr>
          <w:rFonts w:ascii="Times New Roman" w:hAnsi="Times New Roman"/>
          <w:sz w:val="24"/>
          <w:szCs w:val="24"/>
          <w:lang w:eastAsia="ru-RU"/>
        </w:rPr>
        <w:t xml:space="preserve"> Минздрава России от 21.12.2018 №11-7/10/1-511 «О формировании и экономическом обосновании территориальной программы…»)</w:t>
      </w:r>
      <w:r w:rsidRPr="003F23A5">
        <w:rPr>
          <w:rFonts w:ascii="Times New Roman" w:hAnsi="Times New Roman"/>
          <w:sz w:val="24"/>
          <w:szCs w:val="24"/>
          <w:lang w:eastAsia="ar-SA"/>
        </w:rPr>
        <w:t>, среднего подушевого норматива на 1 жителя за счет средств бюджета субъекта РФ - 3 621,1 руб. (в 2019 году -</w:t>
      </w:r>
      <w:r w:rsidRPr="003F23A5">
        <w:rPr>
          <w:rFonts w:ascii="Times New Roman" w:hAnsi="Times New Roman"/>
          <w:sz w:val="24"/>
          <w:szCs w:val="24"/>
          <w:lang w:eastAsia="ru-RU"/>
        </w:rPr>
        <w:t xml:space="preserve"> 3488,6 руб.), предусмотренного на 2020 год</w:t>
      </w:r>
      <w:r w:rsidRPr="003F23A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F23A5">
        <w:rPr>
          <w:rFonts w:ascii="Times New Roman" w:hAnsi="Times New Roman"/>
          <w:sz w:val="24"/>
          <w:szCs w:val="24"/>
          <w:lang w:eastAsia="ru-RU"/>
        </w:rPr>
        <w:t xml:space="preserve">Программой государственных гарантий бесплатного оказания гражданам медицинской помощи на 2019 год и на плановый период 2020 и 2021 годов (постановление Правительства РФ от 10.12.2018 №1506), </w:t>
      </w:r>
      <w:r w:rsidRPr="003F23A5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3F23A5">
        <w:rPr>
          <w:rFonts w:ascii="Times New Roman" w:hAnsi="Times New Roman"/>
          <w:sz w:val="24"/>
          <w:szCs w:val="24"/>
          <w:lang w:eastAsia="ar-SA"/>
        </w:rPr>
        <w:t>бъем средств на реализацию областной Программы государственных гарантий должен составить 5 245,7 млн.руб. Объем средств может быть уточнен после принятия проекта Программы государственных гарантий бесплатного оказания гражданам медицинской помощи на 2020 год, в настоящее время разработанной Минздравом России и размещенной 11.09.2019 для обсуждения на официальном федеральном портале опубликования проектов нормативно-правовых документов.</w:t>
      </w:r>
    </w:p>
    <w:p w:rsidR="001E4617" w:rsidRPr="003F23A5" w:rsidRDefault="001E4617" w:rsidP="003F23A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F23A5">
        <w:rPr>
          <w:rFonts w:ascii="Times New Roman" w:hAnsi="Times New Roman"/>
          <w:sz w:val="24"/>
          <w:szCs w:val="24"/>
          <w:lang w:eastAsia="ar-SA"/>
        </w:rPr>
        <w:t xml:space="preserve">Соответственно </w:t>
      </w:r>
      <w:r w:rsidRPr="003F23A5">
        <w:rPr>
          <w:rFonts w:ascii="Times New Roman" w:hAnsi="Times New Roman"/>
          <w:sz w:val="24"/>
          <w:szCs w:val="24"/>
          <w:u w:val="single"/>
          <w:lang w:eastAsia="ar-SA"/>
        </w:rPr>
        <w:t>дефицит бюджетной составляющей областной Программы на 2020 год составит 1 108,4 млн.руб.</w:t>
      </w:r>
      <w:r w:rsidRPr="003F23A5">
        <w:rPr>
          <w:rFonts w:ascii="Times New Roman" w:hAnsi="Times New Roman"/>
          <w:sz w:val="24"/>
          <w:szCs w:val="24"/>
          <w:lang w:eastAsia="ar-SA"/>
        </w:rPr>
        <w:t xml:space="preserve"> или 21,1% от расчетной стоимости. Следует учитывать, что дефицит Программы сократится за счет средств, предоставляемых областному бюджету из федерального бюджета на лекарственное обеспечение отдельных категорий граждан, иные мероприятия.</w:t>
      </w:r>
    </w:p>
    <w:p w:rsidR="001E4617" w:rsidRPr="003F23A5" w:rsidRDefault="001E4617" w:rsidP="003F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F23A5">
        <w:rPr>
          <w:rFonts w:ascii="Times New Roman" w:hAnsi="Times New Roman"/>
          <w:sz w:val="24"/>
          <w:szCs w:val="24"/>
          <w:lang w:eastAsia="ar-SA"/>
        </w:rPr>
        <w:t>По ГП «Развитие здравоохранения в Томской области»</w:t>
      </w:r>
      <w:r w:rsidRPr="003F23A5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3F23A5">
        <w:rPr>
          <w:rFonts w:ascii="Times New Roman" w:hAnsi="Times New Roman"/>
          <w:sz w:val="24"/>
          <w:szCs w:val="24"/>
          <w:lang w:eastAsia="ar-SA"/>
        </w:rPr>
        <w:t xml:space="preserve">подпрограмме «Оказание бесплатной медицинской помощи в рамках областной программы ОМС предусмотрены бюджетные ассигнования на обязательное медицинское страхование неработающего населения, передаваемые </w:t>
      </w:r>
      <w:r w:rsidRPr="003F23A5">
        <w:rPr>
          <w:rFonts w:ascii="Times New Roman" w:hAnsi="Times New Roman"/>
          <w:color w:val="000000"/>
          <w:sz w:val="24"/>
          <w:szCs w:val="24"/>
          <w:lang w:eastAsia="ar-SA"/>
        </w:rPr>
        <w:t>бюджету Федерального фонда ОМС</w:t>
      </w:r>
      <w:r w:rsidRPr="003F23A5">
        <w:rPr>
          <w:rFonts w:ascii="Times New Roman" w:hAnsi="Times New Roman"/>
          <w:sz w:val="24"/>
          <w:szCs w:val="24"/>
          <w:lang w:eastAsia="ar-SA"/>
        </w:rPr>
        <w:t xml:space="preserve"> в размере</w:t>
      </w:r>
      <w:r w:rsidRPr="003F23A5">
        <w:rPr>
          <w:rFonts w:ascii="Times New Roman" w:hAnsi="Times New Roman"/>
          <w:sz w:val="24"/>
          <w:szCs w:val="24"/>
          <w:lang w:eastAsia="ru-RU"/>
        </w:rPr>
        <w:t> 5 797,5 млн</w:t>
      </w:r>
      <w:r w:rsidRPr="003F23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.руб., который </w:t>
      </w:r>
      <w:r w:rsidRPr="003F23A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потребует уточнения в сторону уменьшения на 49,6 млн.руб.</w:t>
      </w:r>
      <w:r w:rsidRPr="003F23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</w:t>
      </w:r>
      <w:r w:rsidRPr="003F23A5">
        <w:rPr>
          <w:rFonts w:ascii="Times New Roman" w:hAnsi="Times New Roman"/>
          <w:sz w:val="24"/>
          <w:szCs w:val="24"/>
          <w:lang w:eastAsia="ru-RU"/>
        </w:rPr>
        <w:t xml:space="preserve">принятии </w:t>
      </w:r>
      <w:r w:rsidRPr="003F23A5">
        <w:rPr>
          <w:rFonts w:ascii="Times New Roman" w:hAnsi="Times New Roman"/>
          <w:iCs/>
          <w:color w:val="000000"/>
          <w:sz w:val="24"/>
          <w:szCs w:val="24"/>
          <w:lang w:eastAsia="ar-SA"/>
        </w:rPr>
        <w:t xml:space="preserve">внесенного на рассмотрение в </w:t>
      </w:r>
      <w:r w:rsidRPr="003F23A5">
        <w:rPr>
          <w:rFonts w:ascii="Times New Roman" w:hAnsi="Times New Roman"/>
          <w:sz w:val="24"/>
          <w:szCs w:val="24"/>
          <w:lang w:eastAsia="ru-RU"/>
        </w:rPr>
        <w:t xml:space="preserve">Государственную Думу РФ </w:t>
      </w:r>
      <w:r w:rsidRPr="003F23A5">
        <w:rPr>
          <w:rFonts w:ascii="Times New Roman" w:hAnsi="Times New Roman"/>
          <w:color w:val="000000"/>
          <w:sz w:val="24"/>
          <w:szCs w:val="24"/>
          <w:lang w:eastAsia="ru-RU"/>
        </w:rPr>
        <w:t>проекта Федерального закона «О бюджете</w:t>
      </w:r>
      <w:r w:rsidRPr="003F23A5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Федерального фонда ОМС на 2020 год…», согласно которому </w:t>
      </w:r>
      <w:r w:rsidRPr="003F23A5">
        <w:rPr>
          <w:rFonts w:ascii="Times New Roman" w:hAnsi="Times New Roman"/>
          <w:sz w:val="24"/>
          <w:szCs w:val="24"/>
          <w:lang w:eastAsia="ar-SA"/>
        </w:rPr>
        <w:t xml:space="preserve">планируется установить </w:t>
      </w:r>
      <w:r w:rsidRPr="003F23A5">
        <w:rPr>
          <w:rFonts w:ascii="Times New Roman" w:hAnsi="Times New Roman"/>
          <w:color w:val="000000"/>
          <w:sz w:val="24"/>
          <w:szCs w:val="24"/>
          <w:lang w:eastAsia="ar-SA"/>
        </w:rPr>
        <w:t>коэффициент удорожания стоимости медицинских услуг</w:t>
      </w:r>
      <w:r w:rsidRPr="003F23A5">
        <w:rPr>
          <w:rFonts w:ascii="Times New Roman" w:hAnsi="Times New Roman"/>
          <w:sz w:val="24"/>
          <w:szCs w:val="24"/>
          <w:lang w:eastAsia="ar-SA"/>
        </w:rPr>
        <w:t xml:space="preserve"> 1,153</w:t>
      </w:r>
      <w:r w:rsidRPr="003F23A5">
        <w:rPr>
          <w:rFonts w:ascii="Times New Roman" w:hAnsi="Times New Roman"/>
          <w:color w:val="000000"/>
          <w:sz w:val="24"/>
          <w:szCs w:val="24"/>
          <w:lang w:eastAsia="ar-SA"/>
        </w:rPr>
        <w:t>, меньше использованного при расчете (1,162), установленного на 2020 год Федеральным законом от 28.11.2018 №433-ФЗ «О бюджете Федерального фонда обязательного медицинского страхования на 2019 и плановый период 2020 и 2021 годов». Таким образом,</w:t>
      </w:r>
      <w:r w:rsidRPr="003F23A5">
        <w:rPr>
          <w:rFonts w:ascii="Times New Roman" w:hAnsi="Times New Roman"/>
          <w:sz w:val="24"/>
          <w:szCs w:val="24"/>
          <w:lang w:eastAsia="ar-SA"/>
        </w:rPr>
        <w:t xml:space="preserve"> о</w:t>
      </w:r>
      <w:r w:rsidRPr="003F23A5">
        <w:rPr>
          <w:rFonts w:ascii="Times New Roman" w:hAnsi="Times New Roman"/>
          <w:bCs/>
          <w:color w:val="000000"/>
          <w:sz w:val="24"/>
          <w:szCs w:val="24"/>
          <w:lang w:eastAsia="ar-SA"/>
        </w:rPr>
        <w:t>бъем средств</w:t>
      </w:r>
      <w:r w:rsidRPr="003F23A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областного бюджета на ОМС неработающего населения исходя из </w:t>
      </w:r>
      <w:r w:rsidRPr="003F23A5">
        <w:rPr>
          <w:rFonts w:ascii="Times New Roman" w:hAnsi="Times New Roman"/>
          <w:sz w:val="24"/>
          <w:szCs w:val="24"/>
          <w:lang w:eastAsia="ar-SA"/>
        </w:rPr>
        <w:t xml:space="preserve">численности неработающего населения </w:t>
      </w:r>
      <w:r w:rsidRPr="003F23A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на 01.01.2019 - </w:t>
      </w:r>
      <w:r w:rsidRPr="003F23A5">
        <w:rPr>
          <w:rFonts w:ascii="Times New Roman" w:hAnsi="Times New Roman"/>
          <w:sz w:val="24"/>
          <w:szCs w:val="24"/>
          <w:lang w:eastAsia="ar-SA"/>
        </w:rPr>
        <w:t xml:space="preserve">543 409 чел. (на 01.01.2018 - 539 413 чел.) и </w:t>
      </w:r>
      <w:r w:rsidRPr="003F23A5">
        <w:rPr>
          <w:rFonts w:ascii="Times New Roman" w:hAnsi="Times New Roman"/>
          <w:iCs/>
          <w:color w:val="000000"/>
          <w:sz w:val="24"/>
          <w:szCs w:val="24"/>
          <w:lang w:eastAsia="ar-SA"/>
        </w:rPr>
        <w:t xml:space="preserve">тарифа </w:t>
      </w:r>
      <w:r w:rsidRPr="003F23A5">
        <w:rPr>
          <w:rFonts w:ascii="Times New Roman" w:hAnsi="Times New Roman"/>
          <w:sz w:val="24"/>
          <w:szCs w:val="24"/>
          <w:lang w:eastAsia="ar-SA"/>
        </w:rPr>
        <w:t xml:space="preserve">на 1 неработающего 10 577,5 руб. </w:t>
      </w:r>
      <w:r w:rsidRPr="003F23A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составит 5 747,9 млн.руб. (5 747 908,7 </w:t>
      </w:r>
      <w:r w:rsidRPr="003F23A5">
        <w:rPr>
          <w:rFonts w:ascii="Times New Roman" w:hAnsi="Times New Roman"/>
          <w:iCs/>
          <w:color w:val="000000"/>
          <w:sz w:val="24"/>
          <w:szCs w:val="24"/>
          <w:lang w:eastAsia="ar-SA"/>
        </w:rPr>
        <w:t>тыс.руб.).</w:t>
      </w:r>
      <w:r w:rsidRPr="003F23A5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1E4617" w:rsidRPr="003F23A5" w:rsidRDefault="001E4617" w:rsidP="003F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E4617" w:rsidRPr="003F23A5" w:rsidRDefault="001E4617" w:rsidP="003F2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F23A5">
        <w:rPr>
          <w:rFonts w:ascii="Times New Roman" w:hAnsi="Times New Roman"/>
          <w:b/>
          <w:sz w:val="24"/>
          <w:szCs w:val="24"/>
        </w:rPr>
        <w:t>7.</w:t>
      </w:r>
      <w:r w:rsidRPr="003F23A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F23A5">
        <w:rPr>
          <w:rFonts w:ascii="Times New Roman" w:hAnsi="Times New Roman"/>
          <w:sz w:val="24"/>
          <w:szCs w:val="26"/>
        </w:rPr>
        <w:t>Характеристика объектов и объемов бюджетных инвестиций, учтенных в законопроекте в составе Приложения 9 «</w:t>
      </w:r>
      <w:r w:rsidRPr="003F23A5">
        <w:rPr>
          <w:rFonts w:ascii="Times New Roman" w:hAnsi="Times New Roman"/>
          <w:bCs/>
          <w:sz w:val="24"/>
          <w:szCs w:val="24"/>
          <w:lang w:eastAsia="ru-RU"/>
        </w:rPr>
        <w:t xml:space="preserve">Распределение бюджетных ассигнований </w:t>
      </w:r>
      <w:r w:rsidRPr="003F23A5">
        <w:rPr>
          <w:rFonts w:ascii="Times New Roman" w:hAnsi="Times New Roman"/>
          <w:b/>
          <w:bCs/>
          <w:sz w:val="24"/>
          <w:szCs w:val="24"/>
          <w:lang w:eastAsia="ru-RU"/>
        </w:rPr>
        <w:t>по объектам капитального строительства</w:t>
      </w:r>
      <w:r w:rsidRPr="003F23A5">
        <w:rPr>
          <w:rFonts w:ascii="Times New Roman" w:hAnsi="Times New Roman"/>
          <w:bCs/>
          <w:sz w:val="24"/>
          <w:szCs w:val="24"/>
          <w:lang w:eastAsia="ru-RU"/>
        </w:rPr>
        <w:t xml:space="preserve"> государственной собственности Томской области (муниципальной собственности) и объектам недвижимого имущества, приобретаемым в государственную собственность Томской области (муниципальную собственность), финансируемых за счет средств областного бюджета, на 20</w:t>
      </w:r>
      <w:r>
        <w:rPr>
          <w:rFonts w:ascii="Times New Roman" w:hAnsi="Times New Roman"/>
          <w:bCs/>
          <w:sz w:val="24"/>
          <w:szCs w:val="24"/>
          <w:lang w:eastAsia="ru-RU"/>
        </w:rPr>
        <w:t>20 год и на плановый период 2021 и 2022</w:t>
      </w:r>
      <w:r w:rsidRPr="003F23A5">
        <w:rPr>
          <w:rFonts w:ascii="Times New Roman" w:hAnsi="Times New Roman"/>
          <w:bCs/>
          <w:sz w:val="24"/>
          <w:szCs w:val="24"/>
          <w:lang w:eastAsia="ru-RU"/>
        </w:rPr>
        <w:t xml:space="preserve"> годов» </w:t>
      </w:r>
      <w:r w:rsidRPr="003F23A5">
        <w:rPr>
          <w:rFonts w:ascii="Times New Roman" w:hAnsi="Times New Roman"/>
          <w:sz w:val="24"/>
          <w:szCs w:val="26"/>
        </w:rPr>
        <w:t>приведена в приложениях 4</w:t>
      </w:r>
      <w:r>
        <w:rPr>
          <w:rFonts w:ascii="Times New Roman" w:hAnsi="Times New Roman"/>
          <w:sz w:val="24"/>
          <w:szCs w:val="26"/>
        </w:rPr>
        <w:t xml:space="preserve"> - 6 </w:t>
      </w:r>
      <w:r w:rsidRPr="003F23A5">
        <w:rPr>
          <w:rFonts w:ascii="Times New Roman" w:hAnsi="Times New Roman"/>
          <w:sz w:val="24"/>
          <w:szCs w:val="26"/>
        </w:rPr>
        <w:t>к настоящему заключению.</w:t>
      </w:r>
    </w:p>
    <w:p w:rsidR="001E4617" w:rsidRPr="003F23A5" w:rsidRDefault="001E4617" w:rsidP="003F23A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sz w:val="26"/>
          <w:szCs w:val="26"/>
        </w:rPr>
      </w:pPr>
    </w:p>
    <w:p w:rsidR="001E4617" w:rsidRPr="003F23A5" w:rsidRDefault="001E4617" w:rsidP="003F2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23A5">
        <w:rPr>
          <w:rFonts w:ascii="Times New Roman" w:hAnsi="Times New Roman"/>
          <w:b/>
          <w:sz w:val="24"/>
          <w:szCs w:val="26"/>
        </w:rPr>
        <w:t>8</w:t>
      </w:r>
      <w:r w:rsidRPr="003F23A5">
        <w:rPr>
          <w:rFonts w:ascii="Times New Roman" w:hAnsi="Times New Roman"/>
          <w:sz w:val="24"/>
          <w:szCs w:val="26"/>
        </w:rPr>
        <w:t xml:space="preserve">. </w:t>
      </w:r>
      <w:r w:rsidRPr="003F23A5">
        <w:rPr>
          <w:rFonts w:ascii="Times New Roman" w:hAnsi="Times New Roman"/>
          <w:sz w:val="24"/>
          <w:szCs w:val="24"/>
        </w:rPr>
        <w:t>Характеристики</w:t>
      </w:r>
      <w:r w:rsidRPr="003F23A5">
        <w:rPr>
          <w:rFonts w:ascii="Times New Roman" w:hAnsi="Times New Roman"/>
          <w:sz w:val="24"/>
          <w:szCs w:val="24"/>
          <w:lang w:eastAsia="ru-RU"/>
        </w:rPr>
        <w:t xml:space="preserve"> показателей</w:t>
      </w:r>
      <w:r w:rsidRPr="003F23A5">
        <w:rPr>
          <w:rFonts w:ascii="Times New Roman" w:hAnsi="Times New Roman"/>
          <w:b/>
          <w:sz w:val="24"/>
          <w:szCs w:val="24"/>
          <w:lang w:eastAsia="ru-RU"/>
        </w:rPr>
        <w:t xml:space="preserve"> «Источники финансирования дефицита областного бюджета», «Программа государственных внутренних заимствований Томской области», «Программа государственных гарантий Томской области», «Государственный долг Томской области и расходы на обслуживание Государственного долга»,</w:t>
      </w:r>
      <w:r w:rsidRPr="003F23A5">
        <w:rPr>
          <w:rFonts w:ascii="Times New Roman" w:hAnsi="Times New Roman"/>
          <w:sz w:val="24"/>
          <w:szCs w:val="24"/>
          <w:lang w:eastAsia="ru-RU"/>
        </w:rPr>
        <w:t xml:space="preserve"> их содержание и соответствие требованиям бюджетного законодательства</w:t>
      </w:r>
      <w:r w:rsidRPr="003F23A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F23A5">
        <w:rPr>
          <w:rFonts w:ascii="Times New Roman" w:hAnsi="Times New Roman"/>
          <w:sz w:val="24"/>
          <w:szCs w:val="24"/>
          <w:lang w:eastAsia="ru-RU"/>
        </w:rPr>
        <w:t xml:space="preserve">приведены в Приложении 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3F23A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E4617" w:rsidRPr="003F23A5" w:rsidRDefault="001E4617" w:rsidP="003F2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F23A5">
        <w:rPr>
          <w:rFonts w:ascii="Times New Roman" w:hAnsi="Times New Roman"/>
          <w:b/>
          <w:sz w:val="24"/>
          <w:szCs w:val="24"/>
        </w:rPr>
        <w:t xml:space="preserve"> </w:t>
      </w:r>
    </w:p>
    <w:p w:rsidR="001E4617" w:rsidRPr="003F23A5" w:rsidRDefault="001E4617" w:rsidP="003F23A5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F23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основании изложенного в настоящем заключении </w:t>
      </w:r>
      <w:r w:rsidRPr="003F23A5">
        <w:rPr>
          <w:rFonts w:ascii="Times New Roman" w:hAnsi="Times New Roman"/>
          <w:b/>
          <w:sz w:val="24"/>
          <w:szCs w:val="24"/>
        </w:rPr>
        <w:t>Контрольно-счетная палата Томской области сообщает следующее:</w:t>
      </w:r>
    </w:p>
    <w:p w:rsidR="001E4617" w:rsidRPr="003F23A5" w:rsidRDefault="001E4617" w:rsidP="003F2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23A5">
        <w:rPr>
          <w:rFonts w:ascii="Times New Roman" w:hAnsi="Times New Roman"/>
          <w:sz w:val="24"/>
          <w:szCs w:val="24"/>
          <w:lang w:eastAsia="ru-RU"/>
        </w:rPr>
        <w:t>1. Законопроект в целом соответствует требованиям бюджетного законодательства и может быть принят в первом чтении.</w:t>
      </w:r>
    </w:p>
    <w:p w:rsidR="001E4617" w:rsidRPr="003F23A5" w:rsidRDefault="001E4617" w:rsidP="00C31AF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23A5">
        <w:rPr>
          <w:rFonts w:ascii="Times New Roman" w:hAnsi="Times New Roman"/>
          <w:sz w:val="24"/>
          <w:szCs w:val="24"/>
        </w:rPr>
        <w:t xml:space="preserve">Документы и материалы, представленные вместе с проектом бюджета, в основном </w:t>
      </w:r>
      <w:r w:rsidRPr="003F23A5">
        <w:rPr>
          <w:rFonts w:ascii="Times New Roman" w:hAnsi="Times New Roman"/>
          <w:sz w:val="24"/>
          <w:szCs w:val="24"/>
        </w:rPr>
        <w:lastRenderedPageBreak/>
        <w:t xml:space="preserve">соответствуют перечню, установленному статьей 184.2 Бюджетного кодекса РФ. </w:t>
      </w:r>
      <w:r>
        <w:rPr>
          <w:rFonts w:ascii="Times New Roman" w:hAnsi="Times New Roman"/>
          <w:sz w:val="24"/>
          <w:szCs w:val="24"/>
        </w:rPr>
        <w:t>Часть методик и расчетов распределения межбюджетных трансфертов не представлены, кроме того, законопроектом не установлено распределение ряда субсидий местным бюджетам.</w:t>
      </w:r>
    </w:p>
    <w:p w:rsidR="001E4617" w:rsidRPr="003F23A5" w:rsidRDefault="001E4617" w:rsidP="003F23A5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3A5">
        <w:rPr>
          <w:rFonts w:ascii="Times New Roman" w:hAnsi="Times New Roman"/>
          <w:sz w:val="24"/>
          <w:szCs w:val="24"/>
          <w:lang w:eastAsia="ru-RU"/>
        </w:rPr>
        <w:t>2.</w:t>
      </w:r>
      <w:r w:rsidRPr="003F23A5">
        <w:rPr>
          <w:rFonts w:ascii="Times New Roman" w:hAnsi="Times New Roman"/>
          <w:sz w:val="24"/>
          <w:szCs w:val="24"/>
        </w:rPr>
        <w:t xml:space="preserve"> Анализ документов, на основе которых составлен проект бюджета, показал ряд отклонений от показателей, утвержденных в Стратегии развития Томской области до 2030 года. По ряду значений показатели Прогноза социально-экономического развития Томской области на 20</w:t>
      </w:r>
      <w:r>
        <w:rPr>
          <w:rFonts w:ascii="Times New Roman" w:hAnsi="Times New Roman"/>
          <w:sz w:val="24"/>
          <w:szCs w:val="24"/>
        </w:rPr>
        <w:t>20</w:t>
      </w:r>
      <w:r w:rsidRPr="003F23A5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3F23A5">
        <w:rPr>
          <w:rFonts w:ascii="Times New Roman" w:hAnsi="Times New Roman"/>
          <w:sz w:val="24"/>
          <w:szCs w:val="24"/>
        </w:rPr>
        <w:t xml:space="preserve"> годы значительно снижены, такая тенденция наблюдается несколько последних лет, и это также свидетельствует о необходимости актуализации Стратегии. </w:t>
      </w:r>
    </w:p>
    <w:p w:rsidR="001E4617" w:rsidRPr="00A303E8" w:rsidRDefault="001E4617" w:rsidP="003F23A5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23A5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3F23A5">
        <w:rPr>
          <w:rFonts w:ascii="Times New Roman" w:hAnsi="Times New Roman"/>
          <w:sz w:val="24"/>
          <w:szCs w:val="24"/>
        </w:rPr>
        <w:t xml:space="preserve">Анализ прогнозных показателей по доходам областного бюджета, в том числе по доходам от </w:t>
      </w:r>
      <w:r w:rsidRPr="003115E6">
        <w:rPr>
          <w:rFonts w:ascii="Times New Roman" w:hAnsi="Times New Roman"/>
          <w:sz w:val="24"/>
          <w:szCs w:val="24"/>
        </w:rPr>
        <w:t xml:space="preserve">использования имущества, находящегося в государственной собственности,  свидетельствует как о наличии резервов, не учтенных при прогнозировании, так и о существующих рисках неисполнения прогноза поступлений </w:t>
      </w:r>
      <w:r w:rsidRPr="003115E6">
        <w:rPr>
          <w:rFonts w:ascii="Times New Roman" w:hAnsi="Times New Roman"/>
          <w:snapToGrid w:val="0"/>
          <w:sz w:val="24"/>
          <w:szCs w:val="24"/>
        </w:rPr>
        <w:t xml:space="preserve">в областной бюджет в 2020 году и в </w:t>
      </w:r>
      <w:r w:rsidRPr="00A303E8">
        <w:rPr>
          <w:rFonts w:ascii="Times New Roman" w:hAnsi="Times New Roman"/>
          <w:snapToGrid w:val="0"/>
          <w:sz w:val="24"/>
          <w:szCs w:val="24"/>
        </w:rPr>
        <w:t>плановом периоде 2021 и 2022 годов.</w:t>
      </w:r>
    </w:p>
    <w:p w:rsidR="001E4617" w:rsidRDefault="001E4617" w:rsidP="003F2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303E8">
        <w:rPr>
          <w:rFonts w:ascii="Times New Roman" w:hAnsi="Times New Roman"/>
          <w:sz w:val="24"/>
          <w:szCs w:val="24"/>
        </w:rPr>
        <w:t xml:space="preserve">4. </w:t>
      </w:r>
      <w:r w:rsidRPr="00A303E8">
        <w:rPr>
          <w:rFonts w:ascii="Times New Roman" w:hAnsi="Times New Roman"/>
          <w:bCs/>
          <w:sz w:val="24"/>
          <w:szCs w:val="24"/>
        </w:rPr>
        <w:t>Структура расходов областного бюджета на 2020-2022 годы в разрезе пяти стратегических</w:t>
      </w:r>
      <w:r w:rsidRPr="00DC0094">
        <w:rPr>
          <w:rFonts w:ascii="Times New Roman" w:hAnsi="Times New Roman"/>
          <w:bCs/>
          <w:sz w:val="24"/>
          <w:szCs w:val="24"/>
        </w:rPr>
        <w:t xml:space="preserve"> целей </w:t>
      </w:r>
      <w:r w:rsidRPr="00DC0094">
        <w:rPr>
          <w:rFonts w:ascii="Times New Roman" w:hAnsi="Times New Roman"/>
          <w:bCs/>
          <w:iCs/>
          <w:sz w:val="24"/>
          <w:szCs w:val="24"/>
        </w:rPr>
        <w:t xml:space="preserve">социально-экономического развития Томской области сохранила социальную направленность областного бюджета, на достижение социальной цели </w:t>
      </w:r>
      <w:r w:rsidRPr="00DC0094">
        <w:rPr>
          <w:rFonts w:ascii="Times New Roman" w:hAnsi="Times New Roman"/>
          <w:bCs/>
          <w:sz w:val="24"/>
          <w:szCs w:val="24"/>
        </w:rPr>
        <w:t>«Повышение уровня и качества жизни населения на всей территории Томской области, нак</w:t>
      </w:r>
      <w:r w:rsidRPr="00DC0094">
        <w:rPr>
          <w:rFonts w:ascii="Times New Roman" w:hAnsi="Times New Roman"/>
          <w:sz w:val="24"/>
          <w:szCs w:val="24"/>
        </w:rPr>
        <w:t xml:space="preserve">опление человеческого капитала» </w:t>
      </w:r>
      <w:r w:rsidRPr="00DC0094">
        <w:rPr>
          <w:rFonts w:ascii="Times New Roman" w:hAnsi="Times New Roman"/>
          <w:bCs/>
          <w:iCs/>
          <w:sz w:val="24"/>
          <w:szCs w:val="24"/>
        </w:rPr>
        <w:t xml:space="preserve">доля расходов областного бюджета </w:t>
      </w:r>
      <w:r w:rsidRPr="00DC0094">
        <w:rPr>
          <w:rFonts w:ascii="Times New Roman" w:hAnsi="Times New Roman"/>
          <w:sz w:val="24"/>
          <w:szCs w:val="24"/>
        </w:rPr>
        <w:t>на реализацию 8 государственных программ</w:t>
      </w:r>
      <w:r w:rsidRPr="00DC0094">
        <w:rPr>
          <w:rFonts w:ascii="Times New Roman" w:hAnsi="Times New Roman"/>
          <w:bCs/>
          <w:iCs/>
          <w:sz w:val="24"/>
          <w:szCs w:val="24"/>
        </w:rPr>
        <w:t xml:space="preserve"> на 2020-2022 годы </w:t>
      </w:r>
      <w:r w:rsidRPr="00DC0094">
        <w:rPr>
          <w:rFonts w:ascii="Times New Roman" w:hAnsi="Times New Roman"/>
          <w:sz w:val="24"/>
          <w:szCs w:val="24"/>
        </w:rPr>
        <w:t xml:space="preserve">предусмотрена </w:t>
      </w:r>
      <w:r w:rsidRPr="00DC0094">
        <w:rPr>
          <w:rFonts w:ascii="Times New Roman" w:hAnsi="Times New Roman"/>
          <w:bCs/>
          <w:iCs/>
          <w:sz w:val="24"/>
          <w:szCs w:val="24"/>
        </w:rPr>
        <w:t>в размере</w:t>
      </w:r>
      <w:r w:rsidRPr="00DC0094">
        <w:rPr>
          <w:rFonts w:ascii="Times New Roman" w:hAnsi="Times New Roman"/>
          <w:sz w:val="24"/>
          <w:szCs w:val="24"/>
        </w:rPr>
        <w:t xml:space="preserve"> 70,7%, 66,3%, 62,0% соответственно</w:t>
      </w:r>
      <w:r>
        <w:rPr>
          <w:rFonts w:ascii="Times New Roman" w:hAnsi="Times New Roman"/>
          <w:sz w:val="24"/>
          <w:szCs w:val="24"/>
        </w:rPr>
        <w:t>.</w:t>
      </w:r>
    </w:p>
    <w:p w:rsidR="001E4617" w:rsidRPr="00F31AD0" w:rsidRDefault="001E4617" w:rsidP="003F2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4617" w:rsidRPr="00ED69D0" w:rsidRDefault="001E4617" w:rsidP="00ED6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9D0">
        <w:rPr>
          <w:rFonts w:ascii="Times New Roman" w:hAnsi="Times New Roman"/>
          <w:sz w:val="24"/>
          <w:szCs w:val="24"/>
        </w:rPr>
        <w:t xml:space="preserve"> 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4CF2">
        <w:rPr>
          <w:rFonts w:ascii="Times New Roman" w:hAnsi="Times New Roman"/>
          <w:sz w:val="24"/>
          <w:szCs w:val="24"/>
        </w:rPr>
        <w:t xml:space="preserve">При проведении отбора </w:t>
      </w:r>
      <w:r>
        <w:rPr>
          <w:rFonts w:ascii="Times New Roman" w:hAnsi="Times New Roman"/>
          <w:sz w:val="24"/>
          <w:szCs w:val="24"/>
        </w:rPr>
        <w:t xml:space="preserve">объектов капитального строительства в проекте бюджета </w:t>
      </w:r>
      <w:r w:rsidRPr="009E4CF2">
        <w:rPr>
          <w:rFonts w:ascii="Times New Roman" w:hAnsi="Times New Roman"/>
          <w:sz w:val="24"/>
          <w:szCs w:val="24"/>
        </w:rPr>
        <w:t>учтена приоритетность финансирования переход</w:t>
      </w:r>
      <w:r>
        <w:rPr>
          <w:rFonts w:ascii="Times New Roman" w:hAnsi="Times New Roman"/>
          <w:sz w:val="24"/>
          <w:szCs w:val="24"/>
        </w:rPr>
        <w:t>ящих объектов -</w:t>
      </w:r>
      <w:r w:rsidRPr="009E4CF2">
        <w:rPr>
          <w:rFonts w:ascii="Times New Roman" w:hAnsi="Times New Roman"/>
          <w:sz w:val="24"/>
          <w:szCs w:val="24"/>
        </w:rPr>
        <w:t xml:space="preserve"> 64% от общего объема </w:t>
      </w:r>
      <w:r>
        <w:rPr>
          <w:rFonts w:ascii="Times New Roman" w:hAnsi="Times New Roman"/>
          <w:sz w:val="24"/>
          <w:szCs w:val="24"/>
        </w:rPr>
        <w:t xml:space="preserve">бюджетных инвестиций </w:t>
      </w:r>
      <w:r w:rsidRPr="009E4CF2">
        <w:rPr>
          <w:rFonts w:ascii="Times New Roman" w:hAnsi="Times New Roman"/>
          <w:sz w:val="24"/>
          <w:szCs w:val="24"/>
        </w:rPr>
        <w:t>направлено на переходящие объекты.</w:t>
      </w:r>
      <w:r>
        <w:rPr>
          <w:rFonts w:ascii="Times New Roman" w:hAnsi="Times New Roman"/>
          <w:sz w:val="24"/>
          <w:szCs w:val="24"/>
        </w:rPr>
        <w:t xml:space="preserve"> Одновременно в Томской области имеется</w:t>
      </w:r>
      <w:r w:rsidRPr="00ED69D0">
        <w:rPr>
          <w:rFonts w:ascii="Times New Roman" w:hAnsi="Times New Roman"/>
          <w:sz w:val="24"/>
          <w:szCs w:val="24"/>
        </w:rPr>
        <w:t xml:space="preserve"> 71 объект капитального строительства, строительство (реконструкция), техническое перевооружение, либо финансирование мероприятий по подготовке проектно-сметной документации которых начато в предшествующих финансовых годах и осуществлялось с использованием средств областного и (или) федерального бюджетов, </w:t>
      </w:r>
      <w:r>
        <w:rPr>
          <w:rFonts w:ascii="Times New Roman" w:hAnsi="Times New Roman"/>
          <w:sz w:val="24"/>
          <w:szCs w:val="24"/>
        </w:rPr>
        <w:t xml:space="preserve">которые </w:t>
      </w:r>
      <w:r w:rsidRPr="00ED69D0">
        <w:rPr>
          <w:rFonts w:ascii="Times New Roman" w:hAnsi="Times New Roman"/>
          <w:sz w:val="24"/>
          <w:szCs w:val="24"/>
        </w:rPr>
        <w:t>в проект бюджета не включены. Остаток сметной стоимости указанных объектов в ценах 2020 года составляет 17</w:t>
      </w:r>
      <w:r>
        <w:rPr>
          <w:rFonts w:ascii="Times New Roman" w:hAnsi="Times New Roman"/>
          <w:sz w:val="24"/>
          <w:szCs w:val="24"/>
        </w:rPr>
        <w:t> </w:t>
      </w:r>
      <w:r w:rsidRPr="00ED69D0">
        <w:rPr>
          <w:rFonts w:ascii="Times New Roman" w:hAnsi="Times New Roman"/>
          <w:sz w:val="24"/>
          <w:szCs w:val="24"/>
        </w:rPr>
        <w:t>688</w:t>
      </w:r>
      <w:r>
        <w:rPr>
          <w:rFonts w:ascii="Times New Roman" w:hAnsi="Times New Roman"/>
          <w:sz w:val="24"/>
          <w:szCs w:val="24"/>
        </w:rPr>
        <w:t xml:space="preserve"> млн</w:t>
      </w:r>
      <w:r w:rsidRPr="00ED69D0">
        <w:rPr>
          <w:rFonts w:ascii="Times New Roman" w:hAnsi="Times New Roman"/>
          <w:sz w:val="24"/>
          <w:szCs w:val="24"/>
        </w:rPr>
        <w:t>. руб., что почти в 4 раза превышает объем расходов на объекты капитального строительства, учтенные законопроектом на трехлетний период.</w:t>
      </w:r>
    </w:p>
    <w:p w:rsidR="001E4617" w:rsidRPr="008B4AD8" w:rsidRDefault="001E4617" w:rsidP="003F23A5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i/>
          <w:sz w:val="24"/>
          <w:szCs w:val="26"/>
        </w:rPr>
      </w:pPr>
    </w:p>
    <w:p w:rsidR="001E4617" w:rsidRPr="008C23FE" w:rsidRDefault="001E4617" w:rsidP="003F2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3FE">
        <w:rPr>
          <w:rFonts w:ascii="Times New Roman" w:hAnsi="Times New Roman"/>
          <w:sz w:val="24"/>
          <w:szCs w:val="24"/>
        </w:rPr>
        <w:t xml:space="preserve">6. Требования бюджетного законодательства по сбалансированности областного бюджета,  отношению дефицита областного бюджета к доходам без учета безвозмездных поступлений, параметрам государственного долга и соблюдению условий  </w:t>
      </w:r>
      <w:r w:rsidRPr="008C23FE">
        <w:rPr>
          <w:rFonts w:ascii="Times New Roman" w:hAnsi="Times New Roman"/>
          <w:color w:val="000000"/>
          <w:sz w:val="24"/>
          <w:szCs w:val="24"/>
        </w:rPr>
        <w:t>реструктуризации обязательств (задолженности) Томской области перед Российской Федерацией по бюджетным кредитам</w:t>
      </w:r>
      <w:r w:rsidRPr="008C23FE">
        <w:rPr>
          <w:rFonts w:ascii="Times New Roman" w:hAnsi="Times New Roman"/>
          <w:sz w:val="24"/>
          <w:szCs w:val="24"/>
        </w:rPr>
        <w:t xml:space="preserve"> на 2020 год и плановый период 2021 и 2022 годов в проекте бюджета соблюдены.</w:t>
      </w:r>
    </w:p>
    <w:p w:rsidR="001E4617" w:rsidRDefault="001E4617" w:rsidP="003F2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E4617" w:rsidRDefault="001E4617" w:rsidP="003F2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E4617" w:rsidRDefault="001E4617" w:rsidP="003F2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617" w:rsidRDefault="001E4617" w:rsidP="003F2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617" w:rsidRDefault="001E4617" w:rsidP="003F2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617" w:rsidRPr="003F23A5" w:rsidRDefault="001E4617" w:rsidP="003F2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617" w:rsidRPr="003F23A5" w:rsidRDefault="001E4617" w:rsidP="003F2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23A5">
        <w:rPr>
          <w:rFonts w:ascii="Times New Roman" w:hAnsi="Times New Roman"/>
          <w:sz w:val="24"/>
          <w:szCs w:val="24"/>
          <w:lang w:eastAsia="ru-RU"/>
        </w:rPr>
        <w:t>Председатель</w:t>
      </w:r>
    </w:p>
    <w:p w:rsidR="001E4617" w:rsidRPr="003F23A5" w:rsidRDefault="001E4617" w:rsidP="003F2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23A5">
        <w:rPr>
          <w:rFonts w:ascii="Times New Roman" w:hAnsi="Times New Roman"/>
          <w:sz w:val="24"/>
          <w:szCs w:val="24"/>
          <w:lang w:eastAsia="ru-RU"/>
        </w:rPr>
        <w:t>Контрольно-счетной палаты</w:t>
      </w:r>
    </w:p>
    <w:p w:rsidR="001E4617" w:rsidRPr="004839EA" w:rsidRDefault="001E4617" w:rsidP="00162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23A5">
        <w:rPr>
          <w:rFonts w:ascii="Times New Roman" w:hAnsi="Times New Roman"/>
          <w:sz w:val="24"/>
          <w:szCs w:val="24"/>
          <w:lang w:eastAsia="ru-RU"/>
        </w:rPr>
        <w:t>Томской области</w:t>
      </w:r>
      <w:r w:rsidRPr="003F23A5">
        <w:rPr>
          <w:rFonts w:ascii="Times New Roman" w:hAnsi="Times New Roman"/>
          <w:sz w:val="24"/>
          <w:szCs w:val="24"/>
          <w:lang w:eastAsia="ru-RU"/>
        </w:rPr>
        <w:tab/>
      </w:r>
      <w:r w:rsidRPr="003F23A5">
        <w:rPr>
          <w:rFonts w:ascii="Times New Roman" w:hAnsi="Times New Roman"/>
          <w:sz w:val="24"/>
          <w:szCs w:val="24"/>
          <w:lang w:eastAsia="ru-RU"/>
        </w:rPr>
        <w:tab/>
      </w:r>
      <w:r w:rsidRPr="003F23A5">
        <w:rPr>
          <w:rFonts w:ascii="Times New Roman" w:hAnsi="Times New Roman"/>
          <w:sz w:val="24"/>
          <w:szCs w:val="24"/>
          <w:lang w:eastAsia="ru-RU"/>
        </w:rPr>
        <w:tab/>
      </w:r>
      <w:r w:rsidRPr="003F23A5">
        <w:rPr>
          <w:rFonts w:ascii="Times New Roman" w:hAnsi="Times New Roman"/>
          <w:sz w:val="24"/>
          <w:szCs w:val="24"/>
          <w:lang w:eastAsia="ru-RU"/>
        </w:rPr>
        <w:tab/>
      </w:r>
      <w:r w:rsidRPr="003F23A5">
        <w:rPr>
          <w:rFonts w:ascii="Times New Roman" w:hAnsi="Times New Roman"/>
          <w:sz w:val="24"/>
          <w:szCs w:val="24"/>
          <w:lang w:eastAsia="ru-RU"/>
        </w:rPr>
        <w:tab/>
      </w:r>
      <w:r w:rsidRPr="003F23A5">
        <w:rPr>
          <w:rFonts w:ascii="Times New Roman" w:hAnsi="Times New Roman"/>
          <w:sz w:val="24"/>
          <w:szCs w:val="24"/>
          <w:lang w:eastAsia="ru-RU"/>
        </w:rPr>
        <w:tab/>
      </w:r>
      <w:r w:rsidRPr="003F23A5">
        <w:rPr>
          <w:rFonts w:ascii="Times New Roman" w:hAnsi="Times New Roman"/>
          <w:sz w:val="24"/>
          <w:szCs w:val="24"/>
          <w:lang w:eastAsia="ru-RU"/>
        </w:rPr>
        <w:tab/>
      </w:r>
      <w:r w:rsidRPr="003F23A5">
        <w:rPr>
          <w:rFonts w:ascii="Times New Roman" w:hAnsi="Times New Roman"/>
          <w:sz w:val="24"/>
          <w:szCs w:val="24"/>
          <w:lang w:eastAsia="ru-RU"/>
        </w:rPr>
        <w:tab/>
      </w:r>
      <w:r w:rsidRPr="003F23A5">
        <w:rPr>
          <w:rFonts w:ascii="Times New Roman" w:hAnsi="Times New Roman"/>
          <w:sz w:val="24"/>
          <w:szCs w:val="24"/>
          <w:lang w:eastAsia="ru-RU"/>
        </w:rPr>
        <w:tab/>
        <w:t>А.Д. Пронькин</w:t>
      </w:r>
    </w:p>
    <w:sectPr w:rsidR="001E4617" w:rsidRPr="004839EA" w:rsidSect="00AE3596">
      <w:headerReference w:type="default" r:id="rId11"/>
      <w:pgSz w:w="11906" w:h="16838"/>
      <w:pgMar w:top="851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0CC" w:rsidRDefault="005120CC" w:rsidP="00AE3596">
      <w:pPr>
        <w:spacing w:after="0" w:line="240" w:lineRule="auto"/>
      </w:pPr>
      <w:r>
        <w:separator/>
      </w:r>
    </w:p>
  </w:endnote>
  <w:endnote w:type="continuationSeparator" w:id="0">
    <w:p w:rsidR="005120CC" w:rsidRDefault="005120CC" w:rsidP="00AE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0CC" w:rsidRDefault="005120CC" w:rsidP="00AE3596">
      <w:pPr>
        <w:spacing w:after="0" w:line="240" w:lineRule="auto"/>
      </w:pPr>
      <w:r>
        <w:separator/>
      </w:r>
    </w:p>
  </w:footnote>
  <w:footnote w:type="continuationSeparator" w:id="0">
    <w:p w:rsidR="005120CC" w:rsidRDefault="005120CC" w:rsidP="00AE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617" w:rsidRDefault="005120CC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 w:rsidR="00DB203B">
      <w:rPr>
        <w:noProof/>
      </w:rPr>
      <w:t>21</w:t>
    </w:r>
    <w:r>
      <w:rPr>
        <w:noProof/>
      </w:rPr>
      <w:fldChar w:fldCharType="end"/>
    </w:r>
  </w:p>
  <w:p w:rsidR="001E4617" w:rsidRDefault="001E4617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5001"/>
    <w:multiLevelType w:val="hybridMultilevel"/>
    <w:tmpl w:val="21D8A6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61328"/>
    <w:multiLevelType w:val="hybridMultilevel"/>
    <w:tmpl w:val="7E7A9E42"/>
    <w:lvl w:ilvl="0" w:tplc="ED8CDD5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12327F0"/>
    <w:multiLevelType w:val="hybridMultilevel"/>
    <w:tmpl w:val="97620876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1F1E"/>
    <w:multiLevelType w:val="hybridMultilevel"/>
    <w:tmpl w:val="FB70B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242CC0"/>
    <w:multiLevelType w:val="hybridMultilevel"/>
    <w:tmpl w:val="D784941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 w15:restartNumberingAfterBreak="0">
    <w:nsid w:val="17C21147"/>
    <w:multiLevelType w:val="hybridMultilevel"/>
    <w:tmpl w:val="FBB868F4"/>
    <w:lvl w:ilvl="0" w:tplc="8BE6761E">
      <w:start w:val="8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0A2D99"/>
    <w:multiLevelType w:val="hybridMultilevel"/>
    <w:tmpl w:val="0CAC895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33C28"/>
    <w:multiLevelType w:val="hybridMultilevel"/>
    <w:tmpl w:val="36F256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610DD4"/>
    <w:multiLevelType w:val="hybridMultilevel"/>
    <w:tmpl w:val="565EA73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06679"/>
    <w:multiLevelType w:val="hybridMultilevel"/>
    <w:tmpl w:val="57FA827E"/>
    <w:lvl w:ilvl="0" w:tplc="04190001">
      <w:start w:val="1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C577D"/>
    <w:multiLevelType w:val="hybridMultilevel"/>
    <w:tmpl w:val="637E5C9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17AFE"/>
    <w:multiLevelType w:val="hybridMultilevel"/>
    <w:tmpl w:val="CDF6DB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6F634E"/>
    <w:multiLevelType w:val="hybridMultilevel"/>
    <w:tmpl w:val="8F3458D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33BC7C62"/>
    <w:multiLevelType w:val="hybridMultilevel"/>
    <w:tmpl w:val="1DBC068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73071"/>
    <w:multiLevelType w:val="hybridMultilevel"/>
    <w:tmpl w:val="11B4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EE24B0"/>
    <w:multiLevelType w:val="hybridMultilevel"/>
    <w:tmpl w:val="5CA455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757919"/>
    <w:multiLevelType w:val="hybridMultilevel"/>
    <w:tmpl w:val="20A25AF8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8410E"/>
    <w:multiLevelType w:val="hybridMultilevel"/>
    <w:tmpl w:val="0418770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83DB4"/>
    <w:multiLevelType w:val="hybridMultilevel"/>
    <w:tmpl w:val="DBC4AC56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31B79"/>
    <w:multiLevelType w:val="hybridMultilevel"/>
    <w:tmpl w:val="46441C8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F3FDE"/>
    <w:multiLevelType w:val="hybridMultilevel"/>
    <w:tmpl w:val="379A6C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B66D71"/>
    <w:multiLevelType w:val="hybridMultilevel"/>
    <w:tmpl w:val="285CD8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6A92F78"/>
    <w:multiLevelType w:val="hybridMultilevel"/>
    <w:tmpl w:val="BBC60F4A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3" w15:restartNumberingAfterBreak="0">
    <w:nsid w:val="6767235F"/>
    <w:multiLevelType w:val="hybridMultilevel"/>
    <w:tmpl w:val="6F940A42"/>
    <w:lvl w:ilvl="0" w:tplc="8FDC55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836ACB"/>
    <w:multiLevelType w:val="hybridMultilevel"/>
    <w:tmpl w:val="8E782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9146E3F"/>
    <w:multiLevelType w:val="hybridMultilevel"/>
    <w:tmpl w:val="FC4C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B38C4"/>
    <w:multiLevelType w:val="hybridMultilevel"/>
    <w:tmpl w:val="044AF18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D559A"/>
    <w:multiLevelType w:val="hybridMultilevel"/>
    <w:tmpl w:val="68109E24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8" w15:restartNumberingAfterBreak="0">
    <w:nsid w:val="716206C9"/>
    <w:multiLevelType w:val="hybridMultilevel"/>
    <w:tmpl w:val="1F74F5A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B5952"/>
    <w:multiLevelType w:val="hybridMultilevel"/>
    <w:tmpl w:val="A998D7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367206"/>
    <w:multiLevelType w:val="hybridMultilevel"/>
    <w:tmpl w:val="217050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AF39F0"/>
    <w:multiLevelType w:val="hybridMultilevel"/>
    <w:tmpl w:val="E25EE1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3"/>
  </w:num>
  <w:num w:numId="4">
    <w:abstractNumId w:val="2"/>
  </w:num>
  <w:num w:numId="5">
    <w:abstractNumId w:val="28"/>
  </w:num>
  <w:num w:numId="6">
    <w:abstractNumId w:val="0"/>
  </w:num>
  <w:num w:numId="7">
    <w:abstractNumId w:val="23"/>
  </w:num>
  <w:num w:numId="8">
    <w:abstractNumId w:val="26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  <w:num w:numId="13">
    <w:abstractNumId w:val="11"/>
  </w:num>
  <w:num w:numId="14">
    <w:abstractNumId w:val="21"/>
  </w:num>
  <w:num w:numId="15">
    <w:abstractNumId w:val="12"/>
  </w:num>
  <w:num w:numId="16">
    <w:abstractNumId w:val="17"/>
  </w:num>
  <w:num w:numId="17">
    <w:abstractNumId w:val="16"/>
  </w:num>
  <w:num w:numId="18">
    <w:abstractNumId w:val="8"/>
  </w:num>
  <w:num w:numId="19">
    <w:abstractNumId w:val="13"/>
  </w:num>
  <w:num w:numId="20">
    <w:abstractNumId w:val="14"/>
  </w:num>
  <w:num w:numId="21">
    <w:abstractNumId w:val="19"/>
  </w:num>
  <w:num w:numId="22">
    <w:abstractNumId w:val="6"/>
  </w:num>
  <w:num w:numId="23">
    <w:abstractNumId w:val="18"/>
  </w:num>
  <w:num w:numId="24">
    <w:abstractNumId w:val="25"/>
  </w:num>
  <w:num w:numId="25">
    <w:abstractNumId w:val="22"/>
  </w:num>
  <w:num w:numId="26">
    <w:abstractNumId w:val="1"/>
  </w:num>
  <w:num w:numId="27">
    <w:abstractNumId w:val="29"/>
  </w:num>
  <w:num w:numId="28">
    <w:abstractNumId w:val="31"/>
  </w:num>
  <w:num w:numId="29">
    <w:abstractNumId w:val="24"/>
  </w:num>
  <w:num w:numId="30">
    <w:abstractNumId w:val="20"/>
  </w:num>
  <w:num w:numId="31">
    <w:abstractNumId w:val="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969"/>
    <w:rsid w:val="00003DC4"/>
    <w:rsid w:val="000040FE"/>
    <w:rsid w:val="00004E4F"/>
    <w:rsid w:val="00005B4C"/>
    <w:rsid w:val="0001186D"/>
    <w:rsid w:val="00015E4C"/>
    <w:rsid w:val="00016604"/>
    <w:rsid w:val="00023CD7"/>
    <w:rsid w:val="000250F4"/>
    <w:rsid w:val="00026087"/>
    <w:rsid w:val="000311BD"/>
    <w:rsid w:val="00036306"/>
    <w:rsid w:val="00037A40"/>
    <w:rsid w:val="000403D0"/>
    <w:rsid w:val="000450DF"/>
    <w:rsid w:val="000469C4"/>
    <w:rsid w:val="000535BD"/>
    <w:rsid w:val="000545B0"/>
    <w:rsid w:val="00063056"/>
    <w:rsid w:val="0006437D"/>
    <w:rsid w:val="000657A3"/>
    <w:rsid w:val="00071615"/>
    <w:rsid w:val="00081857"/>
    <w:rsid w:val="000869D6"/>
    <w:rsid w:val="00087187"/>
    <w:rsid w:val="00087F78"/>
    <w:rsid w:val="00090F6A"/>
    <w:rsid w:val="00092DA1"/>
    <w:rsid w:val="000A28FA"/>
    <w:rsid w:val="000A299D"/>
    <w:rsid w:val="000A3611"/>
    <w:rsid w:val="000A61C8"/>
    <w:rsid w:val="000B0ECF"/>
    <w:rsid w:val="000B2BF2"/>
    <w:rsid w:val="000B302D"/>
    <w:rsid w:val="000B4310"/>
    <w:rsid w:val="000C248F"/>
    <w:rsid w:val="000C5B87"/>
    <w:rsid w:val="000D14BF"/>
    <w:rsid w:val="000D3AF8"/>
    <w:rsid w:val="000D484C"/>
    <w:rsid w:val="000D7810"/>
    <w:rsid w:val="000E1C8D"/>
    <w:rsid w:val="000E2526"/>
    <w:rsid w:val="000F25A4"/>
    <w:rsid w:val="000F5A77"/>
    <w:rsid w:val="0010585A"/>
    <w:rsid w:val="00112A0A"/>
    <w:rsid w:val="00112FE1"/>
    <w:rsid w:val="00114CE3"/>
    <w:rsid w:val="0012095E"/>
    <w:rsid w:val="001229D9"/>
    <w:rsid w:val="00125047"/>
    <w:rsid w:val="00131553"/>
    <w:rsid w:val="001361D8"/>
    <w:rsid w:val="00144334"/>
    <w:rsid w:val="00145E1B"/>
    <w:rsid w:val="00147E59"/>
    <w:rsid w:val="00151AF1"/>
    <w:rsid w:val="00151EF0"/>
    <w:rsid w:val="00152684"/>
    <w:rsid w:val="0016298C"/>
    <w:rsid w:val="00165BE5"/>
    <w:rsid w:val="001710D6"/>
    <w:rsid w:val="001735CD"/>
    <w:rsid w:val="001743E1"/>
    <w:rsid w:val="001759A3"/>
    <w:rsid w:val="00176EE1"/>
    <w:rsid w:val="00186001"/>
    <w:rsid w:val="00187F04"/>
    <w:rsid w:val="00190837"/>
    <w:rsid w:val="001955ED"/>
    <w:rsid w:val="001A6802"/>
    <w:rsid w:val="001A7E1C"/>
    <w:rsid w:val="001B0807"/>
    <w:rsid w:val="001B1FEA"/>
    <w:rsid w:val="001B6AFA"/>
    <w:rsid w:val="001C0B29"/>
    <w:rsid w:val="001D6594"/>
    <w:rsid w:val="001D78C8"/>
    <w:rsid w:val="001E3AE0"/>
    <w:rsid w:val="001E4617"/>
    <w:rsid w:val="001F1467"/>
    <w:rsid w:val="001F1A2A"/>
    <w:rsid w:val="001F236D"/>
    <w:rsid w:val="001F28B8"/>
    <w:rsid w:val="001F5D01"/>
    <w:rsid w:val="001F7D5D"/>
    <w:rsid w:val="00202449"/>
    <w:rsid w:val="00213E8E"/>
    <w:rsid w:val="00213EDA"/>
    <w:rsid w:val="00214B21"/>
    <w:rsid w:val="002151E1"/>
    <w:rsid w:val="002161F4"/>
    <w:rsid w:val="00220D9B"/>
    <w:rsid w:val="002226C8"/>
    <w:rsid w:val="00231701"/>
    <w:rsid w:val="00234DDC"/>
    <w:rsid w:val="00235D0E"/>
    <w:rsid w:val="00236DFC"/>
    <w:rsid w:val="002433FD"/>
    <w:rsid w:val="0024733C"/>
    <w:rsid w:val="00247BE8"/>
    <w:rsid w:val="002518F5"/>
    <w:rsid w:val="002618DB"/>
    <w:rsid w:val="002639E4"/>
    <w:rsid w:val="00265940"/>
    <w:rsid w:val="00273F7C"/>
    <w:rsid w:val="002A783D"/>
    <w:rsid w:val="002B08EA"/>
    <w:rsid w:val="002B225C"/>
    <w:rsid w:val="002B238B"/>
    <w:rsid w:val="002B2F18"/>
    <w:rsid w:val="002B3C5D"/>
    <w:rsid w:val="002B634F"/>
    <w:rsid w:val="002C14F2"/>
    <w:rsid w:val="002C2488"/>
    <w:rsid w:val="002C3D26"/>
    <w:rsid w:val="002C542B"/>
    <w:rsid w:val="002C54C8"/>
    <w:rsid w:val="002D3AEF"/>
    <w:rsid w:val="002D3B4B"/>
    <w:rsid w:val="002D483B"/>
    <w:rsid w:val="002D4F35"/>
    <w:rsid w:val="002D6B7C"/>
    <w:rsid w:val="002D70EB"/>
    <w:rsid w:val="002E1A6C"/>
    <w:rsid w:val="002E4B86"/>
    <w:rsid w:val="002F374C"/>
    <w:rsid w:val="0030464D"/>
    <w:rsid w:val="00307556"/>
    <w:rsid w:val="00310651"/>
    <w:rsid w:val="003115E6"/>
    <w:rsid w:val="00315439"/>
    <w:rsid w:val="003170CE"/>
    <w:rsid w:val="00317C72"/>
    <w:rsid w:val="003223F3"/>
    <w:rsid w:val="00323D9D"/>
    <w:rsid w:val="00326FBD"/>
    <w:rsid w:val="00333127"/>
    <w:rsid w:val="00335ACC"/>
    <w:rsid w:val="00341642"/>
    <w:rsid w:val="0034464F"/>
    <w:rsid w:val="0034523B"/>
    <w:rsid w:val="0035111F"/>
    <w:rsid w:val="0035368D"/>
    <w:rsid w:val="00354E9D"/>
    <w:rsid w:val="00356C92"/>
    <w:rsid w:val="0036084C"/>
    <w:rsid w:val="00363A63"/>
    <w:rsid w:val="0036539C"/>
    <w:rsid w:val="00366377"/>
    <w:rsid w:val="00367857"/>
    <w:rsid w:val="003727AF"/>
    <w:rsid w:val="003745BA"/>
    <w:rsid w:val="00381575"/>
    <w:rsid w:val="00383CE3"/>
    <w:rsid w:val="00386B2F"/>
    <w:rsid w:val="003905E9"/>
    <w:rsid w:val="00394718"/>
    <w:rsid w:val="003A1ABA"/>
    <w:rsid w:val="003A3452"/>
    <w:rsid w:val="003A3F7B"/>
    <w:rsid w:val="003B1725"/>
    <w:rsid w:val="003B3526"/>
    <w:rsid w:val="003B4565"/>
    <w:rsid w:val="003B4E59"/>
    <w:rsid w:val="003B7B0C"/>
    <w:rsid w:val="003C0CA8"/>
    <w:rsid w:val="003C50A9"/>
    <w:rsid w:val="003C5999"/>
    <w:rsid w:val="003C7A17"/>
    <w:rsid w:val="003D2B87"/>
    <w:rsid w:val="003D57A7"/>
    <w:rsid w:val="003D6521"/>
    <w:rsid w:val="003D7324"/>
    <w:rsid w:val="003E02E8"/>
    <w:rsid w:val="003E1377"/>
    <w:rsid w:val="003E38E1"/>
    <w:rsid w:val="003F01DC"/>
    <w:rsid w:val="003F23A5"/>
    <w:rsid w:val="003F7026"/>
    <w:rsid w:val="00400B1C"/>
    <w:rsid w:val="004031A4"/>
    <w:rsid w:val="00414A9B"/>
    <w:rsid w:val="00421C51"/>
    <w:rsid w:val="00423607"/>
    <w:rsid w:val="00425DBD"/>
    <w:rsid w:val="00426899"/>
    <w:rsid w:val="004310D9"/>
    <w:rsid w:val="00432C14"/>
    <w:rsid w:val="00433ED2"/>
    <w:rsid w:val="00440559"/>
    <w:rsid w:val="00445BEB"/>
    <w:rsid w:val="00447481"/>
    <w:rsid w:val="004510CD"/>
    <w:rsid w:val="00453C42"/>
    <w:rsid w:val="00454FB7"/>
    <w:rsid w:val="004617B0"/>
    <w:rsid w:val="00461A19"/>
    <w:rsid w:val="004839EA"/>
    <w:rsid w:val="004862A0"/>
    <w:rsid w:val="0049085B"/>
    <w:rsid w:val="004922B9"/>
    <w:rsid w:val="004942EC"/>
    <w:rsid w:val="00494715"/>
    <w:rsid w:val="00494B79"/>
    <w:rsid w:val="00496276"/>
    <w:rsid w:val="004A005C"/>
    <w:rsid w:val="004A1831"/>
    <w:rsid w:val="004A5537"/>
    <w:rsid w:val="004A63AF"/>
    <w:rsid w:val="004A79CC"/>
    <w:rsid w:val="004B1F41"/>
    <w:rsid w:val="004B371F"/>
    <w:rsid w:val="004B4BE1"/>
    <w:rsid w:val="004B57FA"/>
    <w:rsid w:val="004B6261"/>
    <w:rsid w:val="004C2887"/>
    <w:rsid w:val="004C7BA0"/>
    <w:rsid w:val="004D075D"/>
    <w:rsid w:val="004D1653"/>
    <w:rsid w:val="004D2856"/>
    <w:rsid w:val="004D40D8"/>
    <w:rsid w:val="004E207F"/>
    <w:rsid w:val="004F04F4"/>
    <w:rsid w:val="004F3D20"/>
    <w:rsid w:val="005002EA"/>
    <w:rsid w:val="005038C1"/>
    <w:rsid w:val="005057BF"/>
    <w:rsid w:val="00506F10"/>
    <w:rsid w:val="005120CC"/>
    <w:rsid w:val="005164EE"/>
    <w:rsid w:val="00520B26"/>
    <w:rsid w:val="00520D5B"/>
    <w:rsid w:val="00530490"/>
    <w:rsid w:val="00530D89"/>
    <w:rsid w:val="005339A3"/>
    <w:rsid w:val="005360B7"/>
    <w:rsid w:val="00536377"/>
    <w:rsid w:val="00542A7D"/>
    <w:rsid w:val="00551323"/>
    <w:rsid w:val="00560D36"/>
    <w:rsid w:val="0056135C"/>
    <w:rsid w:val="00563E02"/>
    <w:rsid w:val="005675AC"/>
    <w:rsid w:val="00572FD4"/>
    <w:rsid w:val="0057653D"/>
    <w:rsid w:val="005765C7"/>
    <w:rsid w:val="00582935"/>
    <w:rsid w:val="00584802"/>
    <w:rsid w:val="00597B6A"/>
    <w:rsid w:val="005A0358"/>
    <w:rsid w:val="005A44B9"/>
    <w:rsid w:val="005B0B97"/>
    <w:rsid w:val="005B1507"/>
    <w:rsid w:val="005B265E"/>
    <w:rsid w:val="005B29BA"/>
    <w:rsid w:val="005B66FD"/>
    <w:rsid w:val="005C49B8"/>
    <w:rsid w:val="005C5EEA"/>
    <w:rsid w:val="005D35C3"/>
    <w:rsid w:val="005D4452"/>
    <w:rsid w:val="005E1C9A"/>
    <w:rsid w:val="005E576D"/>
    <w:rsid w:val="005F4756"/>
    <w:rsid w:val="005F54FA"/>
    <w:rsid w:val="00601608"/>
    <w:rsid w:val="00602D3E"/>
    <w:rsid w:val="00604113"/>
    <w:rsid w:val="006046CB"/>
    <w:rsid w:val="006064ED"/>
    <w:rsid w:val="006064F5"/>
    <w:rsid w:val="00606949"/>
    <w:rsid w:val="0060763E"/>
    <w:rsid w:val="00607BB1"/>
    <w:rsid w:val="00607BD1"/>
    <w:rsid w:val="00610477"/>
    <w:rsid w:val="00611F82"/>
    <w:rsid w:val="006129D8"/>
    <w:rsid w:val="00621DF2"/>
    <w:rsid w:val="006225F0"/>
    <w:rsid w:val="0062299E"/>
    <w:rsid w:val="00623878"/>
    <w:rsid w:val="006242A0"/>
    <w:rsid w:val="00625D7A"/>
    <w:rsid w:val="006349B8"/>
    <w:rsid w:val="00636136"/>
    <w:rsid w:val="00636914"/>
    <w:rsid w:val="00636A9A"/>
    <w:rsid w:val="006405AC"/>
    <w:rsid w:val="00643C78"/>
    <w:rsid w:val="00644AB0"/>
    <w:rsid w:val="00646978"/>
    <w:rsid w:val="00651737"/>
    <w:rsid w:val="00652A2F"/>
    <w:rsid w:val="006530A9"/>
    <w:rsid w:val="00653721"/>
    <w:rsid w:val="006555C8"/>
    <w:rsid w:val="00662766"/>
    <w:rsid w:val="006669DB"/>
    <w:rsid w:val="00666DC6"/>
    <w:rsid w:val="00667BBB"/>
    <w:rsid w:val="00667F4F"/>
    <w:rsid w:val="0067026F"/>
    <w:rsid w:val="00671CCB"/>
    <w:rsid w:val="006813A0"/>
    <w:rsid w:val="006852D1"/>
    <w:rsid w:val="00687B27"/>
    <w:rsid w:val="006A0E06"/>
    <w:rsid w:val="006B3580"/>
    <w:rsid w:val="006B43C3"/>
    <w:rsid w:val="006B6F1A"/>
    <w:rsid w:val="006B702D"/>
    <w:rsid w:val="006C698B"/>
    <w:rsid w:val="006D07BE"/>
    <w:rsid w:val="006D6216"/>
    <w:rsid w:val="006D73DA"/>
    <w:rsid w:val="006E03AE"/>
    <w:rsid w:val="006E0624"/>
    <w:rsid w:val="006E2864"/>
    <w:rsid w:val="006E62BF"/>
    <w:rsid w:val="006F1447"/>
    <w:rsid w:val="006F303B"/>
    <w:rsid w:val="006F3B11"/>
    <w:rsid w:val="007021F5"/>
    <w:rsid w:val="00702372"/>
    <w:rsid w:val="00710A56"/>
    <w:rsid w:val="007156DA"/>
    <w:rsid w:val="00721D57"/>
    <w:rsid w:val="007244E5"/>
    <w:rsid w:val="00725F27"/>
    <w:rsid w:val="00730C75"/>
    <w:rsid w:val="00731196"/>
    <w:rsid w:val="00732BB1"/>
    <w:rsid w:val="00736A46"/>
    <w:rsid w:val="00737D6E"/>
    <w:rsid w:val="00737F50"/>
    <w:rsid w:val="007404F2"/>
    <w:rsid w:val="00747B10"/>
    <w:rsid w:val="00750DCC"/>
    <w:rsid w:val="00752E22"/>
    <w:rsid w:val="00755FF8"/>
    <w:rsid w:val="007604EF"/>
    <w:rsid w:val="00767991"/>
    <w:rsid w:val="00770250"/>
    <w:rsid w:val="00776DB0"/>
    <w:rsid w:val="00776FDB"/>
    <w:rsid w:val="007810EC"/>
    <w:rsid w:val="00790572"/>
    <w:rsid w:val="007935C5"/>
    <w:rsid w:val="007969EE"/>
    <w:rsid w:val="007976F5"/>
    <w:rsid w:val="007A01B8"/>
    <w:rsid w:val="007A2D67"/>
    <w:rsid w:val="007A551D"/>
    <w:rsid w:val="007B0C13"/>
    <w:rsid w:val="007B2D08"/>
    <w:rsid w:val="007C77DD"/>
    <w:rsid w:val="007C7946"/>
    <w:rsid w:val="007C7F1B"/>
    <w:rsid w:val="007D51AF"/>
    <w:rsid w:val="007E1815"/>
    <w:rsid w:val="007E3B9B"/>
    <w:rsid w:val="007E5F8C"/>
    <w:rsid w:val="007F0437"/>
    <w:rsid w:val="007F2F97"/>
    <w:rsid w:val="007F3155"/>
    <w:rsid w:val="007F49C5"/>
    <w:rsid w:val="007F65D4"/>
    <w:rsid w:val="007F71DA"/>
    <w:rsid w:val="007F7B4B"/>
    <w:rsid w:val="0080050F"/>
    <w:rsid w:val="008029FA"/>
    <w:rsid w:val="008073EF"/>
    <w:rsid w:val="0081291D"/>
    <w:rsid w:val="008139D3"/>
    <w:rsid w:val="00821E80"/>
    <w:rsid w:val="008235D8"/>
    <w:rsid w:val="0082378D"/>
    <w:rsid w:val="0083102F"/>
    <w:rsid w:val="00831F09"/>
    <w:rsid w:val="00833883"/>
    <w:rsid w:val="008351DC"/>
    <w:rsid w:val="00837AA9"/>
    <w:rsid w:val="008424A2"/>
    <w:rsid w:val="00844911"/>
    <w:rsid w:val="0085132C"/>
    <w:rsid w:val="00852D59"/>
    <w:rsid w:val="008535F3"/>
    <w:rsid w:val="00857B4A"/>
    <w:rsid w:val="00862BAF"/>
    <w:rsid w:val="00862CE3"/>
    <w:rsid w:val="00862DC8"/>
    <w:rsid w:val="00863E37"/>
    <w:rsid w:val="0087081D"/>
    <w:rsid w:val="00871682"/>
    <w:rsid w:val="00874172"/>
    <w:rsid w:val="008743A9"/>
    <w:rsid w:val="00874AF4"/>
    <w:rsid w:val="00876B0D"/>
    <w:rsid w:val="00886902"/>
    <w:rsid w:val="00886969"/>
    <w:rsid w:val="00886F23"/>
    <w:rsid w:val="00891916"/>
    <w:rsid w:val="008A1721"/>
    <w:rsid w:val="008A1A39"/>
    <w:rsid w:val="008A2CB1"/>
    <w:rsid w:val="008B08DD"/>
    <w:rsid w:val="008B4AD8"/>
    <w:rsid w:val="008B6F20"/>
    <w:rsid w:val="008C23FE"/>
    <w:rsid w:val="008C2A8A"/>
    <w:rsid w:val="008C55F8"/>
    <w:rsid w:val="008C60E5"/>
    <w:rsid w:val="008D276F"/>
    <w:rsid w:val="008D4A7B"/>
    <w:rsid w:val="008D77C6"/>
    <w:rsid w:val="008F0BE1"/>
    <w:rsid w:val="008F1640"/>
    <w:rsid w:val="008F1CF2"/>
    <w:rsid w:val="008F2AB3"/>
    <w:rsid w:val="008F747E"/>
    <w:rsid w:val="00910D65"/>
    <w:rsid w:val="009216AC"/>
    <w:rsid w:val="00923537"/>
    <w:rsid w:val="00927822"/>
    <w:rsid w:val="00930641"/>
    <w:rsid w:val="00930C0A"/>
    <w:rsid w:val="00932A61"/>
    <w:rsid w:val="00937370"/>
    <w:rsid w:val="00942E5A"/>
    <w:rsid w:val="00943880"/>
    <w:rsid w:val="009523C9"/>
    <w:rsid w:val="00952AF8"/>
    <w:rsid w:val="009558AD"/>
    <w:rsid w:val="00956A02"/>
    <w:rsid w:val="00960E74"/>
    <w:rsid w:val="0096136F"/>
    <w:rsid w:val="00967B72"/>
    <w:rsid w:val="00970683"/>
    <w:rsid w:val="009708A5"/>
    <w:rsid w:val="00981B75"/>
    <w:rsid w:val="00982AD6"/>
    <w:rsid w:val="009835D0"/>
    <w:rsid w:val="00992756"/>
    <w:rsid w:val="009943FD"/>
    <w:rsid w:val="009B15EF"/>
    <w:rsid w:val="009C1A69"/>
    <w:rsid w:val="009C2F16"/>
    <w:rsid w:val="009C691A"/>
    <w:rsid w:val="009D1290"/>
    <w:rsid w:val="009D6DC5"/>
    <w:rsid w:val="009E0A3E"/>
    <w:rsid w:val="009E21B4"/>
    <w:rsid w:val="009E4CF2"/>
    <w:rsid w:val="009E78E9"/>
    <w:rsid w:val="009F4A48"/>
    <w:rsid w:val="009F52E5"/>
    <w:rsid w:val="009F7811"/>
    <w:rsid w:val="00A0112F"/>
    <w:rsid w:val="00A0174E"/>
    <w:rsid w:val="00A06305"/>
    <w:rsid w:val="00A100A9"/>
    <w:rsid w:val="00A11918"/>
    <w:rsid w:val="00A17516"/>
    <w:rsid w:val="00A203EB"/>
    <w:rsid w:val="00A20E36"/>
    <w:rsid w:val="00A222B4"/>
    <w:rsid w:val="00A25845"/>
    <w:rsid w:val="00A27DB6"/>
    <w:rsid w:val="00A303E8"/>
    <w:rsid w:val="00A31ADB"/>
    <w:rsid w:val="00A365B4"/>
    <w:rsid w:val="00A4692F"/>
    <w:rsid w:val="00A476C0"/>
    <w:rsid w:val="00A50147"/>
    <w:rsid w:val="00A6011F"/>
    <w:rsid w:val="00A64AE3"/>
    <w:rsid w:val="00A673AB"/>
    <w:rsid w:val="00A73313"/>
    <w:rsid w:val="00A74F03"/>
    <w:rsid w:val="00A8208A"/>
    <w:rsid w:val="00A821D6"/>
    <w:rsid w:val="00A85FA2"/>
    <w:rsid w:val="00A90A92"/>
    <w:rsid w:val="00A90AD3"/>
    <w:rsid w:val="00A9234A"/>
    <w:rsid w:val="00AA0DC4"/>
    <w:rsid w:val="00AA1AAE"/>
    <w:rsid w:val="00AA4599"/>
    <w:rsid w:val="00AA7A10"/>
    <w:rsid w:val="00AB113B"/>
    <w:rsid w:val="00AB3298"/>
    <w:rsid w:val="00AB42C8"/>
    <w:rsid w:val="00AC11CA"/>
    <w:rsid w:val="00AC138F"/>
    <w:rsid w:val="00AC2D90"/>
    <w:rsid w:val="00AC2E7D"/>
    <w:rsid w:val="00AC48E4"/>
    <w:rsid w:val="00AC61A8"/>
    <w:rsid w:val="00AC69C1"/>
    <w:rsid w:val="00AC7BF6"/>
    <w:rsid w:val="00AC7E43"/>
    <w:rsid w:val="00AD173A"/>
    <w:rsid w:val="00AD591A"/>
    <w:rsid w:val="00AE1A23"/>
    <w:rsid w:val="00AE3596"/>
    <w:rsid w:val="00AE3866"/>
    <w:rsid w:val="00AE643F"/>
    <w:rsid w:val="00AF4E35"/>
    <w:rsid w:val="00AF5361"/>
    <w:rsid w:val="00AF7E27"/>
    <w:rsid w:val="00B013C1"/>
    <w:rsid w:val="00B0305B"/>
    <w:rsid w:val="00B0387E"/>
    <w:rsid w:val="00B0414C"/>
    <w:rsid w:val="00B04186"/>
    <w:rsid w:val="00B076A2"/>
    <w:rsid w:val="00B07E09"/>
    <w:rsid w:val="00B100B1"/>
    <w:rsid w:val="00B117D7"/>
    <w:rsid w:val="00B11BC6"/>
    <w:rsid w:val="00B13F58"/>
    <w:rsid w:val="00B1565D"/>
    <w:rsid w:val="00B174DA"/>
    <w:rsid w:val="00B24BE5"/>
    <w:rsid w:val="00B252D5"/>
    <w:rsid w:val="00B27F56"/>
    <w:rsid w:val="00B42E6C"/>
    <w:rsid w:val="00B4488B"/>
    <w:rsid w:val="00B44C9B"/>
    <w:rsid w:val="00B456F5"/>
    <w:rsid w:val="00B60170"/>
    <w:rsid w:val="00B60EC5"/>
    <w:rsid w:val="00B620BE"/>
    <w:rsid w:val="00B66B95"/>
    <w:rsid w:val="00B66CE2"/>
    <w:rsid w:val="00B6738A"/>
    <w:rsid w:val="00B718AC"/>
    <w:rsid w:val="00B7462D"/>
    <w:rsid w:val="00B74639"/>
    <w:rsid w:val="00B773C1"/>
    <w:rsid w:val="00B823EA"/>
    <w:rsid w:val="00B86D90"/>
    <w:rsid w:val="00B931FD"/>
    <w:rsid w:val="00BA2260"/>
    <w:rsid w:val="00BB3138"/>
    <w:rsid w:val="00BB7FC3"/>
    <w:rsid w:val="00BC07C0"/>
    <w:rsid w:val="00BC6265"/>
    <w:rsid w:val="00BD2E9B"/>
    <w:rsid w:val="00BD74A7"/>
    <w:rsid w:val="00BD74DB"/>
    <w:rsid w:val="00BD7BF0"/>
    <w:rsid w:val="00BE2A58"/>
    <w:rsid w:val="00BF16A9"/>
    <w:rsid w:val="00BF4EC7"/>
    <w:rsid w:val="00BF59A8"/>
    <w:rsid w:val="00BF6537"/>
    <w:rsid w:val="00BF7F6E"/>
    <w:rsid w:val="00C01B44"/>
    <w:rsid w:val="00C04919"/>
    <w:rsid w:val="00C04F99"/>
    <w:rsid w:val="00C0566D"/>
    <w:rsid w:val="00C07774"/>
    <w:rsid w:val="00C10D16"/>
    <w:rsid w:val="00C13153"/>
    <w:rsid w:val="00C169BD"/>
    <w:rsid w:val="00C22E3D"/>
    <w:rsid w:val="00C261CC"/>
    <w:rsid w:val="00C273FA"/>
    <w:rsid w:val="00C27B27"/>
    <w:rsid w:val="00C31AF1"/>
    <w:rsid w:val="00C37EAB"/>
    <w:rsid w:val="00C47967"/>
    <w:rsid w:val="00C50A43"/>
    <w:rsid w:val="00C5142C"/>
    <w:rsid w:val="00C51A4C"/>
    <w:rsid w:val="00C54369"/>
    <w:rsid w:val="00C55A05"/>
    <w:rsid w:val="00C60908"/>
    <w:rsid w:val="00C61AC4"/>
    <w:rsid w:val="00C6212A"/>
    <w:rsid w:val="00C6321D"/>
    <w:rsid w:val="00C675F3"/>
    <w:rsid w:val="00C70554"/>
    <w:rsid w:val="00C7155B"/>
    <w:rsid w:val="00C83261"/>
    <w:rsid w:val="00C91FBB"/>
    <w:rsid w:val="00C975F8"/>
    <w:rsid w:val="00C97B50"/>
    <w:rsid w:val="00CA5497"/>
    <w:rsid w:val="00CA58EC"/>
    <w:rsid w:val="00CA6683"/>
    <w:rsid w:val="00CB05BE"/>
    <w:rsid w:val="00CB0B95"/>
    <w:rsid w:val="00CB43F7"/>
    <w:rsid w:val="00CB735F"/>
    <w:rsid w:val="00CB7753"/>
    <w:rsid w:val="00CC13A8"/>
    <w:rsid w:val="00CC4720"/>
    <w:rsid w:val="00CC4CFE"/>
    <w:rsid w:val="00CC5BBE"/>
    <w:rsid w:val="00CC6735"/>
    <w:rsid w:val="00CD4DF3"/>
    <w:rsid w:val="00CD50B4"/>
    <w:rsid w:val="00CD68AB"/>
    <w:rsid w:val="00CE0B86"/>
    <w:rsid w:val="00CE6A5D"/>
    <w:rsid w:val="00CE6B55"/>
    <w:rsid w:val="00CE6E34"/>
    <w:rsid w:val="00CF1059"/>
    <w:rsid w:val="00CF3690"/>
    <w:rsid w:val="00CF51A6"/>
    <w:rsid w:val="00D00262"/>
    <w:rsid w:val="00D01BED"/>
    <w:rsid w:val="00D03385"/>
    <w:rsid w:val="00D033D5"/>
    <w:rsid w:val="00D04642"/>
    <w:rsid w:val="00D11FDB"/>
    <w:rsid w:val="00D23FEF"/>
    <w:rsid w:val="00D329C2"/>
    <w:rsid w:val="00D35470"/>
    <w:rsid w:val="00D36746"/>
    <w:rsid w:val="00D45738"/>
    <w:rsid w:val="00D461E8"/>
    <w:rsid w:val="00D51AAB"/>
    <w:rsid w:val="00D53E13"/>
    <w:rsid w:val="00D5486C"/>
    <w:rsid w:val="00D635B0"/>
    <w:rsid w:val="00D71059"/>
    <w:rsid w:val="00D7227B"/>
    <w:rsid w:val="00D72F2F"/>
    <w:rsid w:val="00D73039"/>
    <w:rsid w:val="00D74F60"/>
    <w:rsid w:val="00D76B99"/>
    <w:rsid w:val="00D801F0"/>
    <w:rsid w:val="00D85FD8"/>
    <w:rsid w:val="00D97F2E"/>
    <w:rsid w:val="00DA0C62"/>
    <w:rsid w:val="00DA16AD"/>
    <w:rsid w:val="00DA7576"/>
    <w:rsid w:val="00DB0119"/>
    <w:rsid w:val="00DB203B"/>
    <w:rsid w:val="00DB3745"/>
    <w:rsid w:val="00DB388D"/>
    <w:rsid w:val="00DB5275"/>
    <w:rsid w:val="00DB5E43"/>
    <w:rsid w:val="00DB7BE4"/>
    <w:rsid w:val="00DC0094"/>
    <w:rsid w:val="00DC1AA5"/>
    <w:rsid w:val="00DC2C8A"/>
    <w:rsid w:val="00DC5026"/>
    <w:rsid w:val="00DC61E3"/>
    <w:rsid w:val="00DD4FCB"/>
    <w:rsid w:val="00DD51BF"/>
    <w:rsid w:val="00DD566C"/>
    <w:rsid w:val="00DD5732"/>
    <w:rsid w:val="00DD7010"/>
    <w:rsid w:val="00DD7A1E"/>
    <w:rsid w:val="00DE2B49"/>
    <w:rsid w:val="00DE4D3A"/>
    <w:rsid w:val="00DF01FD"/>
    <w:rsid w:val="00DF7346"/>
    <w:rsid w:val="00E03802"/>
    <w:rsid w:val="00E1014A"/>
    <w:rsid w:val="00E11860"/>
    <w:rsid w:val="00E120A9"/>
    <w:rsid w:val="00E1281F"/>
    <w:rsid w:val="00E167EE"/>
    <w:rsid w:val="00E20A32"/>
    <w:rsid w:val="00E2569C"/>
    <w:rsid w:val="00E262A4"/>
    <w:rsid w:val="00E31181"/>
    <w:rsid w:val="00E367D6"/>
    <w:rsid w:val="00E3708D"/>
    <w:rsid w:val="00E41D6A"/>
    <w:rsid w:val="00E45B58"/>
    <w:rsid w:val="00E5531D"/>
    <w:rsid w:val="00E566BD"/>
    <w:rsid w:val="00E57942"/>
    <w:rsid w:val="00E6248A"/>
    <w:rsid w:val="00E64FC0"/>
    <w:rsid w:val="00E70D04"/>
    <w:rsid w:val="00E843BE"/>
    <w:rsid w:val="00E9127D"/>
    <w:rsid w:val="00E91B78"/>
    <w:rsid w:val="00E926F5"/>
    <w:rsid w:val="00EA3B98"/>
    <w:rsid w:val="00EA5C98"/>
    <w:rsid w:val="00EA6A3D"/>
    <w:rsid w:val="00EA6AD1"/>
    <w:rsid w:val="00EB1B97"/>
    <w:rsid w:val="00EC2868"/>
    <w:rsid w:val="00EC3630"/>
    <w:rsid w:val="00EC4523"/>
    <w:rsid w:val="00ED2012"/>
    <w:rsid w:val="00ED278C"/>
    <w:rsid w:val="00ED4D33"/>
    <w:rsid w:val="00ED5DFE"/>
    <w:rsid w:val="00ED69D0"/>
    <w:rsid w:val="00EE4865"/>
    <w:rsid w:val="00EF0E31"/>
    <w:rsid w:val="00EF4051"/>
    <w:rsid w:val="00EF4178"/>
    <w:rsid w:val="00EF4803"/>
    <w:rsid w:val="00EF4B3A"/>
    <w:rsid w:val="00EF6E23"/>
    <w:rsid w:val="00F020FD"/>
    <w:rsid w:val="00F04CD8"/>
    <w:rsid w:val="00F05AB2"/>
    <w:rsid w:val="00F15462"/>
    <w:rsid w:val="00F165B7"/>
    <w:rsid w:val="00F17D89"/>
    <w:rsid w:val="00F20674"/>
    <w:rsid w:val="00F22A7B"/>
    <w:rsid w:val="00F231ED"/>
    <w:rsid w:val="00F30B3E"/>
    <w:rsid w:val="00F31AD0"/>
    <w:rsid w:val="00F31DA9"/>
    <w:rsid w:val="00F35116"/>
    <w:rsid w:val="00F376CE"/>
    <w:rsid w:val="00F3771F"/>
    <w:rsid w:val="00F44891"/>
    <w:rsid w:val="00F465B1"/>
    <w:rsid w:val="00F46F2D"/>
    <w:rsid w:val="00F47605"/>
    <w:rsid w:val="00F52244"/>
    <w:rsid w:val="00F54827"/>
    <w:rsid w:val="00F5494B"/>
    <w:rsid w:val="00F55788"/>
    <w:rsid w:val="00F56257"/>
    <w:rsid w:val="00F578CB"/>
    <w:rsid w:val="00F5798F"/>
    <w:rsid w:val="00F57F2C"/>
    <w:rsid w:val="00F620FE"/>
    <w:rsid w:val="00F67239"/>
    <w:rsid w:val="00F7308C"/>
    <w:rsid w:val="00F75EB9"/>
    <w:rsid w:val="00F80072"/>
    <w:rsid w:val="00F821A2"/>
    <w:rsid w:val="00F82537"/>
    <w:rsid w:val="00F82934"/>
    <w:rsid w:val="00F877A7"/>
    <w:rsid w:val="00F9443E"/>
    <w:rsid w:val="00F95258"/>
    <w:rsid w:val="00F95AEA"/>
    <w:rsid w:val="00F978C2"/>
    <w:rsid w:val="00FA0446"/>
    <w:rsid w:val="00FA3F4F"/>
    <w:rsid w:val="00FA54DF"/>
    <w:rsid w:val="00FA604B"/>
    <w:rsid w:val="00FB01A0"/>
    <w:rsid w:val="00FB4D93"/>
    <w:rsid w:val="00FB699A"/>
    <w:rsid w:val="00FB69A8"/>
    <w:rsid w:val="00FC4774"/>
    <w:rsid w:val="00FC4A4D"/>
    <w:rsid w:val="00FC6761"/>
    <w:rsid w:val="00FC7591"/>
    <w:rsid w:val="00FD003A"/>
    <w:rsid w:val="00FD3DDD"/>
    <w:rsid w:val="00FE02EA"/>
    <w:rsid w:val="00FE28C5"/>
    <w:rsid w:val="00FF42D6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04EA3D3F-7E8D-43B5-8EB0-7D20DE19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B9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86969"/>
    <w:pPr>
      <w:widowControl w:val="0"/>
      <w:pBdr>
        <w:bottom w:val="single" w:sz="12" w:space="1" w:color="365F91"/>
      </w:pBdr>
      <w:autoSpaceDE w:val="0"/>
      <w:autoSpaceDN w:val="0"/>
      <w:adjustRightInd w:val="0"/>
      <w:spacing w:before="600" w:after="80" w:line="240" w:lineRule="auto"/>
      <w:jc w:val="both"/>
      <w:outlineLvl w:val="0"/>
    </w:pPr>
    <w:rPr>
      <w:rFonts w:ascii="Cambria" w:eastAsia="Times New Roman" w:hAnsi="Cambria"/>
      <w:b/>
      <w:color w:val="365F91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86969"/>
    <w:pPr>
      <w:widowControl w:val="0"/>
      <w:pBdr>
        <w:bottom w:val="single" w:sz="8" w:space="1" w:color="4F81BD"/>
      </w:pBdr>
      <w:autoSpaceDE w:val="0"/>
      <w:autoSpaceDN w:val="0"/>
      <w:adjustRightInd w:val="0"/>
      <w:spacing w:before="200" w:after="80" w:line="240" w:lineRule="auto"/>
      <w:jc w:val="both"/>
      <w:outlineLvl w:val="1"/>
    </w:pPr>
    <w:rPr>
      <w:rFonts w:ascii="Cambria" w:eastAsia="Times New Roman" w:hAnsi="Cambria"/>
      <w:color w:val="365F91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86969"/>
    <w:pPr>
      <w:widowControl w:val="0"/>
      <w:pBdr>
        <w:bottom w:val="single" w:sz="4" w:space="1" w:color="95B3D7"/>
      </w:pBdr>
      <w:autoSpaceDE w:val="0"/>
      <w:autoSpaceDN w:val="0"/>
      <w:adjustRightInd w:val="0"/>
      <w:spacing w:before="200" w:after="80" w:line="240" w:lineRule="auto"/>
      <w:jc w:val="both"/>
      <w:outlineLvl w:val="2"/>
    </w:pPr>
    <w:rPr>
      <w:rFonts w:ascii="Cambria" w:eastAsia="Times New Roman" w:hAnsi="Cambria"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86969"/>
    <w:pPr>
      <w:widowControl w:val="0"/>
      <w:pBdr>
        <w:bottom w:val="single" w:sz="4" w:space="2" w:color="B8CCE4"/>
      </w:pBdr>
      <w:autoSpaceDE w:val="0"/>
      <w:autoSpaceDN w:val="0"/>
      <w:adjustRightInd w:val="0"/>
      <w:spacing w:before="200" w:after="80" w:line="240" w:lineRule="auto"/>
      <w:jc w:val="both"/>
      <w:outlineLvl w:val="3"/>
    </w:pPr>
    <w:rPr>
      <w:rFonts w:ascii="Cambria" w:eastAsia="Times New Roman" w:hAnsi="Cambria"/>
      <w:i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86969"/>
    <w:pPr>
      <w:widowControl w:val="0"/>
      <w:autoSpaceDE w:val="0"/>
      <w:autoSpaceDN w:val="0"/>
      <w:adjustRightInd w:val="0"/>
      <w:spacing w:before="200" w:after="80" w:line="240" w:lineRule="auto"/>
      <w:jc w:val="both"/>
      <w:outlineLvl w:val="4"/>
    </w:pPr>
    <w:rPr>
      <w:rFonts w:ascii="Cambria" w:eastAsia="Times New Roman" w:hAnsi="Cambria"/>
      <w:color w:val="4F81BD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86969"/>
    <w:pPr>
      <w:widowControl w:val="0"/>
      <w:autoSpaceDE w:val="0"/>
      <w:autoSpaceDN w:val="0"/>
      <w:adjustRightInd w:val="0"/>
      <w:spacing w:before="280" w:after="100" w:line="240" w:lineRule="auto"/>
      <w:jc w:val="both"/>
      <w:outlineLvl w:val="5"/>
    </w:pPr>
    <w:rPr>
      <w:rFonts w:ascii="Cambria" w:eastAsia="Times New Roman" w:hAnsi="Cambria"/>
      <w:i/>
      <w:color w:val="4F81BD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86969"/>
    <w:pPr>
      <w:widowControl w:val="0"/>
      <w:autoSpaceDE w:val="0"/>
      <w:autoSpaceDN w:val="0"/>
      <w:adjustRightInd w:val="0"/>
      <w:spacing w:before="320" w:after="100" w:line="240" w:lineRule="auto"/>
      <w:jc w:val="both"/>
      <w:outlineLvl w:val="6"/>
    </w:pPr>
    <w:rPr>
      <w:rFonts w:ascii="Cambria" w:eastAsia="Times New Roman" w:hAnsi="Cambria"/>
      <w:b/>
      <w:color w:val="9BBB59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86969"/>
    <w:pPr>
      <w:widowControl w:val="0"/>
      <w:autoSpaceDE w:val="0"/>
      <w:autoSpaceDN w:val="0"/>
      <w:adjustRightInd w:val="0"/>
      <w:spacing w:before="320" w:after="100" w:line="240" w:lineRule="auto"/>
      <w:jc w:val="both"/>
      <w:outlineLvl w:val="7"/>
    </w:pPr>
    <w:rPr>
      <w:rFonts w:ascii="Cambria" w:eastAsia="Times New Roman" w:hAnsi="Cambria"/>
      <w:b/>
      <w:i/>
      <w:color w:val="9BBB59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6969"/>
    <w:pPr>
      <w:widowControl w:val="0"/>
      <w:autoSpaceDE w:val="0"/>
      <w:autoSpaceDN w:val="0"/>
      <w:adjustRightInd w:val="0"/>
      <w:spacing w:before="320" w:after="100" w:line="240" w:lineRule="auto"/>
      <w:jc w:val="both"/>
      <w:outlineLvl w:val="8"/>
    </w:pPr>
    <w:rPr>
      <w:rFonts w:ascii="Cambria" w:eastAsia="Times New Roman" w:hAnsi="Cambria"/>
      <w:i/>
      <w:color w:val="9BBB5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6969"/>
    <w:rPr>
      <w:rFonts w:ascii="Cambria" w:hAnsi="Cambria" w:cs="Times New Roman"/>
      <w:b/>
      <w:color w:val="365F91"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886969"/>
    <w:rPr>
      <w:rFonts w:ascii="Cambria" w:hAnsi="Cambria" w:cs="Times New Roman"/>
      <w:color w:val="365F91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886969"/>
    <w:rPr>
      <w:rFonts w:ascii="Cambria" w:hAnsi="Cambria" w:cs="Times New Roman"/>
      <w:color w:val="4F81BD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86969"/>
    <w:rPr>
      <w:rFonts w:ascii="Cambria" w:hAnsi="Cambria" w:cs="Times New Roman"/>
      <w:i/>
      <w:color w:val="4F81BD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886969"/>
    <w:rPr>
      <w:rFonts w:ascii="Cambria" w:hAnsi="Cambria" w:cs="Times New Roman"/>
      <w:color w:val="4F81BD"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886969"/>
    <w:rPr>
      <w:rFonts w:ascii="Cambria" w:hAnsi="Cambria" w:cs="Times New Roman"/>
      <w:i/>
      <w:color w:val="4F81BD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886969"/>
    <w:rPr>
      <w:rFonts w:ascii="Cambria" w:hAnsi="Cambria" w:cs="Times New Roman"/>
      <w:b/>
      <w:color w:val="9BBB59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886969"/>
    <w:rPr>
      <w:rFonts w:ascii="Cambria" w:hAnsi="Cambria" w:cs="Times New Roman"/>
      <w:b/>
      <w:i/>
      <w:color w:val="9BBB59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886969"/>
    <w:rPr>
      <w:rFonts w:ascii="Cambria" w:hAnsi="Cambria" w:cs="Times New Roman"/>
      <w:i/>
      <w:color w:val="9BBB59"/>
      <w:sz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886969"/>
    <w:rPr>
      <w:rFonts w:ascii="Tahoma" w:hAnsi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886969"/>
    <w:pPr>
      <w:widowControl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ahoma" w:hAnsi="Tahoma"/>
      <w:sz w:val="20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886969"/>
    <w:rPr>
      <w:rFonts w:ascii="Times New Roman" w:hAnsi="Times New Roman" w:cs="Times New Roman"/>
      <w:sz w:val="2"/>
      <w:lang w:eastAsia="en-US"/>
    </w:rPr>
  </w:style>
  <w:style w:type="character" w:customStyle="1" w:styleId="11">
    <w:name w:val="Текст выноски Знак1"/>
    <w:uiPriority w:val="99"/>
    <w:semiHidden/>
    <w:rsid w:val="00886969"/>
    <w:rPr>
      <w:rFonts w:ascii="Segoe UI" w:hAnsi="Segoe UI"/>
      <w:sz w:val="18"/>
    </w:rPr>
  </w:style>
  <w:style w:type="paragraph" w:customStyle="1" w:styleId="21">
    <w:name w:val="Список 21"/>
    <w:basedOn w:val="a"/>
    <w:uiPriority w:val="99"/>
    <w:rsid w:val="00886969"/>
    <w:pPr>
      <w:widowControl w:val="0"/>
      <w:suppressAutoHyphens/>
      <w:autoSpaceDE w:val="0"/>
      <w:autoSpaceDN w:val="0"/>
      <w:adjustRightInd w:val="0"/>
      <w:spacing w:after="0" w:line="240" w:lineRule="auto"/>
      <w:ind w:left="566" w:hanging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">
    <w:name w:val="Список 31"/>
    <w:basedOn w:val="a"/>
    <w:uiPriority w:val="99"/>
    <w:rsid w:val="00886969"/>
    <w:pPr>
      <w:widowControl w:val="0"/>
      <w:suppressAutoHyphens/>
      <w:autoSpaceDE w:val="0"/>
      <w:autoSpaceDN w:val="0"/>
      <w:adjustRightInd w:val="0"/>
      <w:spacing w:after="0" w:line="240" w:lineRule="auto"/>
      <w:ind w:left="849" w:hanging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886969"/>
    <w:pPr>
      <w:widowControl w:val="0"/>
      <w:autoSpaceDE w:val="0"/>
      <w:autoSpaceDN w:val="0"/>
      <w:adjustRightInd w:val="0"/>
      <w:spacing w:after="0" w:line="240" w:lineRule="auto"/>
      <w:ind w:left="720" w:firstLine="360"/>
      <w:contextualSpacing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CommentTextChar">
    <w:name w:val="Comment Text Char"/>
    <w:uiPriority w:val="99"/>
    <w:semiHidden/>
    <w:locked/>
    <w:rsid w:val="00886969"/>
    <w:rPr>
      <w:rFonts w:ascii="Calibri" w:hAnsi="Calibri"/>
      <w:sz w:val="20"/>
      <w:lang w:eastAsia="ru-RU"/>
    </w:rPr>
  </w:style>
  <w:style w:type="paragraph" w:styleId="a6">
    <w:name w:val="annotation text"/>
    <w:basedOn w:val="a"/>
    <w:link w:val="a7"/>
    <w:uiPriority w:val="99"/>
    <w:semiHidden/>
    <w:rsid w:val="00886969"/>
    <w:pPr>
      <w:widowControl w:val="0"/>
      <w:autoSpaceDE w:val="0"/>
      <w:autoSpaceDN w:val="0"/>
      <w:adjustRightInd w:val="0"/>
      <w:spacing w:after="0" w:line="240" w:lineRule="auto"/>
      <w:ind w:firstLine="360"/>
      <w:jc w:val="both"/>
    </w:pPr>
    <w:rPr>
      <w:sz w:val="20"/>
      <w:szCs w:val="20"/>
      <w:lang w:eastAsia="ru-RU"/>
    </w:rPr>
  </w:style>
  <w:style w:type="character" w:customStyle="1" w:styleId="a7">
    <w:name w:val="Текст примечания Знак"/>
    <w:link w:val="a6"/>
    <w:uiPriority w:val="99"/>
    <w:semiHidden/>
    <w:locked/>
    <w:rsid w:val="00886969"/>
    <w:rPr>
      <w:rFonts w:ascii="Times New Roman" w:hAnsi="Times New Roman" w:cs="Times New Roman"/>
      <w:sz w:val="20"/>
      <w:lang w:eastAsia="en-US"/>
    </w:rPr>
  </w:style>
  <w:style w:type="character" w:customStyle="1" w:styleId="12">
    <w:name w:val="Текст примечания Знак1"/>
    <w:uiPriority w:val="99"/>
    <w:semiHidden/>
    <w:rsid w:val="00886969"/>
    <w:rPr>
      <w:sz w:val="20"/>
    </w:rPr>
  </w:style>
  <w:style w:type="character" w:customStyle="1" w:styleId="CommentSubjectChar">
    <w:name w:val="Comment Subject Char"/>
    <w:uiPriority w:val="99"/>
    <w:semiHidden/>
    <w:locked/>
    <w:rsid w:val="00886969"/>
    <w:rPr>
      <w:rFonts w:ascii="Calibri" w:hAnsi="Calibri"/>
      <w:b/>
      <w:sz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886969"/>
    <w:rPr>
      <w:b/>
    </w:rPr>
  </w:style>
  <w:style w:type="character" w:customStyle="1" w:styleId="a9">
    <w:name w:val="Тема примечания Знак"/>
    <w:link w:val="a8"/>
    <w:uiPriority w:val="99"/>
    <w:semiHidden/>
    <w:locked/>
    <w:rsid w:val="00886969"/>
    <w:rPr>
      <w:rFonts w:ascii="Times New Roman" w:hAnsi="Times New Roman" w:cs="Times New Roman"/>
      <w:b/>
      <w:sz w:val="20"/>
      <w:lang w:eastAsia="en-US"/>
    </w:rPr>
  </w:style>
  <w:style w:type="character" w:customStyle="1" w:styleId="13">
    <w:name w:val="Тема примечания Знак1"/>
    <w:uiPriority w:val="99"/>
    <w:semiHidden/>
    <w:rsid w:val="00886969"/>
    <w:rPr>
      <w:b/>
      <w:sz w:val="20"/>
    </w:rPr>
  </w:style>
  <w:style w:type="paragraph" w:styleId="aa">
    <w:name w:val="caption"/>
    <w:basedOn w:val="a"/>
    <w:next w:val="a"/>
    <w:uiPriority w:val="99"/>
    <w:qFormat/>
    <w:rsid w:val="00886969"/>
    <w:pPr>
      <w:widowControl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paragraph" w:styleId="ab">
    <w:name w:val="Title"/>
    <w:basedOn w:val="a"/>
    <w:next w:val="a"/>
    <w:link w:val="ac"/>
    <w:uiPriority w:val="99"/>
    <w:qFormat/>
    <w:rsid w:val="00886969"/>
    <w:pPr>
      <w:widowControl w:val="0"/>
      <w:pBdr>
        <w:top w:val="single" w:sz="8" w:space="10" w:color="A7BFDE"/>
        <w:bottom w:val="single" w:sz="24" w:space="15" w:color="9BBB59"/>
      </w:pBdr>
      <w:autoSpaceDE w:val="0"/>
      <w:autoSpaceDN w:val="0"/>
      <w:adjustRightInd w:val="0"/>
      <w:spacing w:after="0" w:line="240" w:lineRule="auto"/>
      <w:jc w:val="center"/>
    </w:pPr>
    <w:rPr>
      <w:rFonts w:ascii="Cambria" w:eastAsia="Times New Roman" w:hAnsi="Cambria"/>
      <w:i/>
      <w:color w:val="243F60"/>
      <w:sz w:val="20"/>
      <w:szCs w:val="20"/>
      <w:lang w:eastAsia="ru-RU"/>
    </w:rPr>
  </w:style>
  <w:style w:type="character" w:customStyle="1" w:styleId="ac">
    <w:name w:val="Название Знак"/>
    <w:link w:val="ab"/>
    <w:uiPriority w:val="99"/>
    <w:locked/>
    <w:rsid w:val="00886969"/>
    <w:rPr>
      <w:rFonts w:ascii="Cambria" w:hAnsi="Cambria" w:cs="Times New Roman"/>
      <w:i/>
      <w:color w:val="243F60"/>
      <w:sz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886969"/>
    <w:pPr>
      <w:widowControl w:val="0"/>
      <w:autoSpaceDE w:val="0"/>
      <w:autoSpaceDN w:val="0"/>
      <w:adjustRightInd w:val="0"/>
      <w:spacing w:before="200" w:after="900" w:line="240" w:lineRule="auto"/>
      <w:jc w:val="right"/>
    </w:pPr>
    <w:rPr>
      <w:rFonts w:eastAsia="Times New Roman"/>
      <w:i/>
      <w:sz w:val="20"/>
      <w:szCs w:val="20"/>
      <w:lang w:eastAsia="ru-RU"/>
    </w:rPr>
  </w:style>
  <w:style w:type="character" w:customStyle="1" w:styleId="ae">
    <w:name w:val="Подзаголовок Знак"/>
    <w:link w:val="ad"/>
    <w:uiPriority w:val="99"/>
    <w:locked/>
    <w:rsid w:val="00886969"/>
    <w:rPr>
      <w:rFonts w:ascii="Calibri" w:hAnsi="Calibri" w:cs="Times New Roman"/>
      <w:i/>
      <w:sz w:val="20"/>
      <w:lang w:eastAsia="ru-RU"/>
    </w:rPr>
  </w:style>
  <w:style w:type="character" w:styleId="af">
    <w:name w:val="Strong"/>
    <w:uiPriority w:val="99"/>
    <w:qFormat/>
    <w:rsid w:val="00886969"/>
    <w:rPr>
      <w:rFonts w:cs="Times New Roman"/>
      <w:b/>
      <w:spacing w:val="0"/>
    </w:rPr>
  </w:style>
  <w:style w:type="character" w:styleId="af0">
    <w:name w:val="Emphasis"/>
    <w:uiPriority w:val="99"/>
    <w:qFormat/>
    <w:rsid w:val="00886969"/>
    <w:rPr>
      <w:rFonts w:cs="Times New Roman"/>
      <w:b/>
      <w:i/>
      <w:color w:val="5A5A5A"/>
    </w:rPr>
  </w:style>
  <w:style w:type="paragraph" w:styleId="af1">
    <w:name w:val="No Spacing"/>
    <w:basedOn w:val="a"/>
    <w:link w:val="af2"/>
    <w:uiPriority w:val="99"/>
    <w:qFormat/>
    <w:rsid w:val="0088696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locked/>
    <w:rsid w:val="00886969"/>
    <w:rPr>
      <w:rFonts w:ascii="Calibri" w:hAnsi="Calibri"/>
      <w:sz w:val="20"/>
      <w:lang w:eastAsia="ru-RU"/>
    </w:rPr>
  </w:style>
  <w:style w:type="paragraph" w:styleId="22">
    <w:name w:val="Quote"/>
    <w:basedOn w:val="a"/>
    <w:next w:val="a"/>
    <w:link w:val="23"/>
    <w:uiPriority w:val="99"/>
    <w:qFormat/>
    <w:rsid w:val="00886969"/>
    <w:pPr>
      <w:widowControl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Cambria" w:eastAsia="Times New Roman" w:hAnsi="Cambria"/>
      <w:i/>
      <w:color w:val="5A5A5A"/>
      <w:sz w:val="20"/>
      <w:szCs w:val="20"/>
      <w:lang w:eastAsia="ru-RU"/>
    </w:rPr>
  </w:style>
  <w:style w:type="character" w:customStyle="1" w:styleId="23">
    <w:name w:val="Цитата 2 Знак"/>
    <w:link w:val="22"/>
    <w:uiPriority w:val="99"/>
    <w:locked/>
    <w:rsid w:val="00886969"/>
    <w:rPr>
      <w:rFonts w:ascii="Cambria" w:hAnsi="Cambria" w:cs="Times New Roman"/>
      <w:i/>
      <w:color w:val="5A5A5A"/>
      <w:sz w:val="20"/>
      <w:lang w:eastAsia="ru-RU"/>
    </w:rPr>
  </w:style>
  <w:style w:type="paragraph" w:styleId="af3">
    <w:name w:val="Intense Quote"/>
    <w:basedOn w:val="a"/>
    <w:next w:val="a"/>
    <w:link w:val="af4"/>
    <w:uiPriority w:val="99"/>
    <w:qFormat/>
    <w:rsid w:val="00886969"/>
    <w:pPr>
      <w:widowControl w:val="0"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autoSpaceDE w:val="0"/>
      <w:autoSpaceDN w:val="0"/>
      <w:adjustRightInd w:val="0"/>
      <w:spacing w:before="320" w:after="320" w:line="300" w:lineRule="auto"/>
      <w:ind w:left="1440" w:right="1440" w:firstLine="360"/>
      <w:jc w:val="both"/>
    </w:pPr>
    <w:rPr>
      <w:rFonts w:ascii="Cambria" w:eastAsia="Times New Roman" w:hAnsi="Cambria"/>
      <w:i/>
      <w:color w:val="FFFFFF"/>
      <w:sz w:val="20"/>
      <w:szCs w:val="20"/>
      <w:lang w:eastAsia="ru-RU"/>
    </w:rPr>
  </w:style>
  <w:style w:type="character" w:customStyle="1" w:styleId="af4">
    <w:name w:val="Выделенная цитата Знак"/>
    <w:link w:val="af3"/>
    <w:uiPriority w:val="99"/>
    <w:locked/>
    <w:rsid w:val="00886969"/>
    <w:rPr>
      <w:rFonts w:ascii="Cambria" w:hAnsi="Cambria" w:cs="Times New Roman"/>
      <w:i/>
      <w:color w:val="FFFFFF"/>
      <w:sz w:val="20"/>
      <w:shd w:val="clear" w:color="auto" w:fill="4F81BD"/>
      <w:lang w:eastAsia="ru-RU"/>
    </w:rPr>
  </w:style>
  <w:style w:type="character" w:styleId="af5">
    <w:name w:val="Subtle Emphasis"/>
    <w:uiPriority w:val="99"/>
    <w:qFormat/>
    <w:rsid w:val="00886969"/>
    <w:rPr>
      <w:rFonts w:cs="Times New Roman"/>
      <w:i/>
      <w:color w:val="5A5A5A"/>
    </w:rPr>
  </w:style>
  <w:style w:type="character" w:styleId="af6">
    <w:name w:val="Intense Emphasis"/>
    <w:uiPriority w:val="99"/>
    <w:qFormat/>
    <w:rsid w:val="00886969"/>
    <w:rPr>
      <w:rFonts w:cs="Times New Roman"/>
      <w:b/>
      <w:i/>
      <w:color w:val="4F81BD"/>
      <w:sz w:val="22"/>
    </w:rPr>
  </w:style>
  <w:style w:type="character" w:styleId="af7">
    <w:name w:val="Subtle Reference"/>
    <w:uiPriority w:val="99"/>
    <w:qFormat/>
    <w:rsid w:val="00886969"/>
    <w:rPr>
      <w:rFonts w:cs="Times New Roman"/>
      <w:color w:val="auto"/>
      <w:u w:val="single" w:color="9BBB59"/>
    </w:rPr>
  </w:style>
  <w:style w:type="character" w:styleId="af8">
    <w:name w:val="Intense Reference"/>
    <w:uiPriority w:val="99"/>
    <w:qFormat/>
    <w:rsid w:val="00886969"/>
    <w:rPr>
      <w:rFonts w:cs="Times New Roman"/>
      <w:b/>
      <w:color w:val="76923C"/>
      <w:u w:val="single" w:color="9BBB59"/>
    </w:rPr>
  </w:style>
  <w:style w:type="character" w:styleId="af9">
    <w:name w:val="Book Title"/>
    <w:uiPriority w:val="99"/>
    <w:qFormat/>
    <w:rsid w:val="00886969"/>
    <w:rPr>
      <w:rFonts w:ascii="Cambria" w:hAnsi="Cambria" w:cs="Times New Roman"/>
      <w:b/>
      <w:i/>
      <w:color w:val="auto"/>
    </w:rPr>
  </w:style>
  <w:style w:type="paragraph" w:styleId="afa">
    <w:name w:val="TOC Heading"/>
    <w:basedOn w:val="1"/>
    <w:next w:val="a"/>
    <w:uiPriority w:val="99"/>
    <w:qFormat/>
    <w:rsid w:val="00886969"/>
    <w:pPr>
      <w:outlineLvl w:val="9"/>
    </w:pPr>
  </w:style>
  <w:style w:type="paragraph" w:styleId="afb">
    <w:name w:val="header"/>
    <w:basedOn w:val="a"/>
    <w:link w:val="afc"/>
    <w:uiPriority w:val="99"/>
    <w:rsid w:val="008869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Верхний колонтитул Знак"/>
    <w:link w:val="afb"/>
    <w:uiPriority w:val="99"/>
    <w:locked/>
    <w:rsid w:val="00886969"/>
    <w:rPr>
      <w:rFonts w:ascii="Times New Roman" w:hAnsi="Times New Roman" w:cs="Times New Roman"/>
      <w:sz w:val="20"/>
      <w:lang w:eastAsia="ru-RU"/>
    </w:rPr>
  </w:style>
  <w:style w:type="paragraph" w:styleId="afd">
    <w:name w:val="footer"/>
    <w:basedOn w:val="a"/>
    <w:link w:val="afe"/>
    <w:uiPriority w:val="99"/>
    <w:rsid w:val="008869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Нижний колонтитул Знак"/>
    <w:link w:val="afd"/>
    <w:uiPriority w:val="99"/>
    <w:locked/>
    <w:rsid w:val="00886969"/>
    <w:rPr>
      <w:rFonts w:ascii="Times New Roman" w:hAnsi="Times New Roman" w:cs="Times New Roman"/>
      <w:sz w:val="20"/>
      <w:lang w:eastAsia="ru-RU"/>
    </w:rPr>
  </w:style>
  <w:style w:type="paragraph" w:styleId="aff">
    <w:name w:val="Normal (Web)"/>
    <w:basedOn w:val="a"/>
    <w:uiPriority w:val="99"/>
    <w:rsid w:val="00886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Body Text"/>
    <w:aliases w:val="Основной текст1,Основной текст Знак Знак,bt"/>
    <w:basedOn w:val="a"/>
    <w:link w:val="aff1"/>
    <w:uiPriority w:val="99"/>
    <w:rsid w:val="0088696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Основной текст Знак"/>
    <w:aliases w:val="Основной текст1 Знак1,Основной текст Знак Знак Знак1,bt Знак1"/>
    <w:link w:val="aff0"/>
    <w:uiPriority w:val="99"/>
    <w:locked/>
    <w:rsid w:val="00886969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link w:val="ConsPlusNormal0"/>
    <w:uiPriority w:val="99"/>
    <w:rsid w:val="0088696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886969"/>
    <w:rPr>
      <w:rFonts w:ascii="Arial" w:hAnsi="Arial"/>
      <w:sz w:val="22"/>
      <w:lang w:eastAsia="ru-RU"/>
    </w:rPr>
  </w:style>
  <w:style w:type="paragraph" w:customStyle="1" w:styleId="aff2">
    <w:name w:val="Знак Знак"/>
    <w:basedOn w:val="a"/>
    <w:uiPriority w:val="99"/>
    <w:rsid w:val="00886969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3">
    <w:name w:val="page number"/>
    <w:uiPriority w:val="99"/>
    <w:rsid w:val="00886969"/>
    <w:rPr>
      <w:rFonts w:cs="Times New Roman"/>
    </w:rPr>
  </w:style>
  <w:style w:type="paragraph" w:customStyle="1" w:styleId="aff4">
    <w:name w:val="Знак Знак Знак Знак Знак Знак"/>
    <w:basedOn w:val="a"/>
    <w:uiPriority w:val="99"/>
    <w:rsid w:val="00886969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1"/>
    <w:basedOn w:val="a"/>
    <w:uiPriority w:val="99"/>
    <w:rsid w:val="00886969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rvps698610">
    <w:name w:val="rvps698610"/>
    <w:basedOn w:val="a"/>
    <w:uiPriority w:val="99"/>
    <w:rsid w:val="0088696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Основной текст Знак1"/>
    <w:aliases w:val="Основной текст1 Знак,Основной текст Знак Знак Знак,bt Знак"/>
    <w:uiPriority w:val="99"/>
    <w:locked/>
    <w:rsid w:val="00886969"/>
    <w:rPr>
      <w:rFonts w:ascii="Times New Roman" w:hAnsi="Times New Roman"/>
      <w:sz w:val="24"/>
      <w:lang w:eastAsia="ru-RU"/>
    </w:rPr>
  </w:style>
  <w:style w:type="paragraph" w:customStyle="1" w:styleId="16">
    <w:name w:val="Абзац списка1"/>
    <w:basedOn w:val="a"/>
    <w:uiPriority w:val="99"/>
    <w:rsid w:val="0088696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2"/>
      <w:sz w:val="24"/>
      <w:szCs w:val="24"/>
      <w:lang w:eastAsia="ru-RU"/>
    </w:rPr>
  </w:style>
  <w:style w:type="paragraph" w:customStyle="1" w:styleId="17">
    <w:name w:val="Знак Знак1"/>
    <w:basedOn w:val="a"/>
    <w:uiPriority w:val="99"/>
    <w:rsid w:val="00886969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 Знак Знак Знак1"/>
    <w:basedOn w:val="a"/>
    <w:uiPriority w:val="99"/>
    <w:rsid w:val="00886969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Indent 3"/>
    <w:basedOn w:val="a"/>
    <w:link w:val="33"/>
    <w:uiPriority w:val="99"/>
    <w:rsid w:val="0088696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uiPriority w:val="99"/>
    <w:locked/>
    <w:rsid w:val="00886969"/>
    <w:rPr>
      <w:rFonts w:ascii="Times New Roman" w:hAnsi="Times New Roman" w:cs="Times New Roman"/>
      <w:sz w:val="16"/>
      <w:lang w:eastAsia="ru-RU"/>
    </w:rPr>
  </w:style>
  <w:style w:type="character" w:styleId="aff5">
    <w:name w:val="Hyperlink"/>
    <w:uiPriority w:val="99"/>
    <w:semiHidden/>
    <w:rsid w:val="00886969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886969"/>
  </w:style>
  <w:style w:type="paragraph" w:customStyle="1" w:styleId="aff6">
    <w:name w:val="Знак Знак Знак Знак"/>
    <w:basedOn w:val="a"/>
    <w:uiPriority w:val="99"/>
    <w:rsid w:val="00886969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7">
    <w:name w:val="Основной текст_"/>
    <w:link w:val="24"/>
    <w:uiPriority w:val="99"/>
    <w:locked/>
    <w:rsid w:val="00886969"/>
    <w:rPr>
      <w:rFonts w:ascii="Times New Roman" w:hAnsi="Times New Roman"/>
      <w:shd w:val="clear" w:color="auto" w:fill="FFFFFF"/>
    </w:rPr>
  </w:style>
  <w:style w:type="paragraph" w:customStyle="1" w:styleId="24">
    <w:name w:val="Основной текст2"/>
    <w:basedOn w:val="a"/>
    <w:link w:val="aff7"/>
    <w:uiPriority w:val="99"/>
    <w:rsid w:val="00886969"/>
    <w:pPr>
      <w:widowControl w:val="0"/>
      <w:shd w:val="clear" w:color="auto" w:fill="FFFFFF"/>
      <w:spacing w:after="420" w:line="240" w:lineRule="atLeast"/>
      <w:jc w:val="right"/>
    </w:pPr>
    <w:rPr>
      <w:rFonts w:ascii="Times New Roman" w:hAnsi="Times New Roman"/>
      <w:sz w:val="20"/>
      <w:szCs w:val="20"/>
      <w:lang w:eastAsia="ru-RU"/>
    </w:rPr>
  </w:style>
  <w:style w:type="character" w:customStyle="1" w:styleId="8pt">
    <w:name w:val="Основной текст + 8 pt"/>
    <w:aliases w:val="Полужирный,Интервал 0 pt"/>
    <w:uiPriority w:val="99"/>
    <w:rsid w:val="00886969"/>
    <w:rPr>
      <w:rFonts w:ascii="Times New Roman" w:hAnsi="Times New Roman"/>
      <w:b/>
      <w:color w:val="000000"/>
      <w:spacing w:val="2"/>
      <w:w w:val="100"/>
      <w:position w:val="0"/>
      <w:sz w:val="16"/>
      <w:shd w:val="clear" w:color="auto" w:fill="FFFFFF"/>
      <w:lang w:val="ru-RU"/>
    </w:rPr>
  </w:style>
  <w:style w:type="table" w:styleId="aff8">
    <w:name w:val="Table Grid"/>
    <w:basedOn w:val="a1"/>
    <w:uiPriority w:val="99"/>
    <w:rsid w:val="00886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869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88696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9">
    <w:name w:val="Просмотренная гиперссылка1"/>
    <w:uiPriority w:val="99"/>
    <w:semiHidden/>
    <w:rsid w:val="00886969"/>
    <w:rPr>
      <w:color w:val="800080"/>
      <w:u w:val="single"/>
    </w:rPr>
  </w:style>
  <w:style w:type="character" w:styleId="aff9">
    <w:name w:val="FollowedHyperlink"/>
    <w:uiPriority w:val="99"/>
    <w:semiHidden/>
    <w:rsid w:val="00886969"/>
    <w:rPr>
      <w:rFonts w:cs="Times New Roman"/>
      <w:color w:val="954F72"/>
      <w:u w:val="single"/>
    </w:rPr>
  </w:style>
  <w:style w:type="character" w:styleId="affa">
    <w:name w:val="annotation reference"/>
    <w:uiPriority w:val="99"/>
    <w:semiHidden/>
    <w:rsid w:val="00886969"/>
    <w:rPr>
      <w:rFonts w:cs="Times New Roman"/>
      <w:sz w:val="16"/>
    </w:rPr>
  </w:style>
  <w:style w:type="paragraph" w:styleId="affb">
    <w:name w:val="Body Text Indent"/>
    <w:basedOn w:val="a"/>
    <w:link w:val="affc"/>
    <w:uiPriority w:val="99"/>
    <w:semiHidden/>
    <w:rsid w:val="00886969"/>
    <w:pPr>
      <w:spacing w:after="0" w:line="240" w:lineRule="auto"/>
      <w:ind w:firstLine="540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ffc">
    <w:name w:val="Основной текст с отступом Знак"/>
    <w:link w:val="affb"/>
    <w:uiPriority w:val="99"/>
    <w:semiHidden/>
    <w:locked/>
    <w:rsid w:val="00886969"/>
    <w:rPr>
      <w:rFonts w:ascii="Times New Roman" w:hAnsi="Times New Roman" w:cs="Times New Roman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84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1.xls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2BA56-A86B-441A-A661-AC8C5604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9123</TotalTime>
  <Pages>38</Pages>
  <Words>20273</Words>
  <Characters>115558</Characters>
  <Application>Microsoft Office Word</Application>
  <DocSecurity>0</DocSecurity>
  <Lines>962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 Ирина Викторовна</dc:creator>
  <cp:keywords/>
  <dc:description/>
  <cp:lastModifiedBy>Вторушин Геннадий Алексеевич</cp:lastModifiedBy>
  <cp:revision>654</cp:revision>
  <cp:lastPrinted>2019-10-29T02:48:00Z</cp:lastPrinted>
  <dcterms:created xsi:type="dcterms:W3CDTF">2019-09-19T02:26:00Z</dcterms:created>
  <dcterms:modified xsi:type="dcterms:W3CDTF">2020-02-07T05:06:00Z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