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25EE" w:rsidRDefault="006B25EE" w:rsidP="006B25EE">
      <w:pPr>
        <w:spacing w:after="0" w:line="240" w:lineRule="auto"/>
        <w:jc w:val="center"/>
        <w:rPr>
          <w:rFonts w:ascii="Times New Roman" w:hAnsi="Times New Roman" w:cs="Times New Roman"/>
          <w:b/>
          <w:color w:val="76923C" w:themeColor="accent3" w:themeShade="BF"/>
          <w:sz w:val="48"/>
          <w:szCs w:val="48"/>
        </w:rPr>
      </w:pPr>
    </w:p>
    <w:p w:rsidR="006B25EE" w:rsidRDefault="006B25EE" w:rsidP="006B25EE">
      <w:pPr>
        <w:spacing w:after="0" w:line="240" w:lineRule="auto"/>
        <w:jc w:val="center"/>
        <w:rPr>
          <w:rFonts w:ascii="Times New Roman" w:hAnsi="Times New Roman" w:cs="Times New Roman"/>
          <w:b/>
          <w:color w:val="76923C" w:themeColor="accent3" w:themeShade="BF"/>
          <w:sz w:val="48"/>
          <w:szCs w:val="48"/>
        </w:rPr>
      </w:pPr>
    </w:p>
    <w:p w:rsidR="006B25EE" w:rsidRPr="00226A3C" w:rsidRDefault="006B25EE" w:rsidP="006B25EE">
      <w:pPr>
        <w:spacing w:after="0" w:line="240" w:lineRule="auto"/>
        <w:jc w:val="center"/>
        <w:rPr>
          <w:rFonts w:ascii="Times New Roman" w:hAnsi="Times New Roman" w:cs="Times New Roman"/>
          <w:b/>
          <w:color w:val="76923C" w:themeColor="accent3" w:themeShade="BF"/>
          <w:sz w:val="48"/>
          <w:szCs w:val="48"/>
        </w:rPr>
      </w:pPr>
      <w:r w:rsidRPr="00226A3C">
        <w:rPr>
          <w:rFonts w:ascii="Times New Roman" w:hAnsi="Times New Roman" w:cs="Times New Roman"/>
          <w:b/>
          <w:color w:val="76923C" w:themeColor="accent3" w:themeShade="BF"/>
          <w:sz w:val="48"/>
          <w:szCs w:val="48"/>
        </w:rPr>
        <w:t xml:space="preserve">Электронный </w:t>
      </w:r>
    </w:p>
    <w:p w:rsidR="006B25EE" w:rsidRPr="00226A3C" w:rsidRDefault="006B25EE" w:rsidP="006B25EE">
      <w:pPr>
        <w:spacing w:after="0" w:line="240" w:lineRule="auto"/>
        <w:jc w:val="center"/>
        <w:rPr>
          <w:rFonts w:ascii="Times New Roman" w:hAnsi="Times New Roman" w:cs="Times New Roman"/>
          <w:b/>
          <w:i/>
          <w:color w:val="76923C" w:themeColor="accent3" w:themeShade="BF"/>
          <w:sz w:val="36"/>
          <w:szCs w:val="36"/>
        </w:rPr>
      </w:pPr>
      <w:r w:rsidRPr="00226A3C">
        <w:rPr>
          <w:rFonts w:ascii="Times New Roman" w:hAnsi="Times New Roman" w:cs="Times New Roman"/>
          <w:b/>
          <w:i/>
          <w:color w:val="76923C" w:themeColor="accent3" w:themeShade="BF"/>
          <w:sz w:val="36"/>
          <w:szCs w:val="36"/>
        </w:rPr>
        <w:t xml:space="preserve">информационный </w:t>
      </w:r>
    </w:p>
    <w:p w:rsidR="006B25EE" w:rsidRPr="00226A3C" w:rsidRDefault="006B25EE" w:rsidP="006B25EE">
      <w:pPr>
        <w:spacing w:after="0" w:line="240" w:lineRule="auto"/>
        <w:jc w:val="center"/>
        <w:rPr>
          <w:rFonts w:ascii="Times New Roman" w:hAnsi="Times New Roman" w:cs="Times New Roman"/>
          <w:b/>
          <w:color w:val="76923C" w:themeColor="accent3" w:themeShade="BF"/>
          <w:sz w:val="48"/>
          <w:szCs w:val="48"/>
        </w:rPr>
      </w:pPr>
      <w:r w:rsidRPr="00226A3C">
        <w:rPr>
          <w:rFonts w:ascii="Times New Roman" w:hAnsi="Times New Roman" w:cs="Times New Roman"/>
          <w:b/>
          <w:color w:val="76923C" w:themeColor="accent3" w:themeShade="BF"/>
          <w:sz w:val="48"/>
          <w:szCs w:val="48"/>
        </w:rPr>
        <w:t>Бюллетень</w:t>
      </w:r>
    </w:p>
    <w:p w:rsidR="006B25EE" w:rsidRPr="00226A3C" w:rsidRDefault="006B25EE" w:rsidP="006B25EE">
      <w:pPr>
        <w:spacing w:after="0" w:line="240" w:lineRule="auto"/>
        <w:jc w:val="center"/>
        <w:rPr>
          <w:rFonts w:ascii="Times New Roman" w:hAnsi="Times New Roman" w:cs="Times New Roman"/>
          <w:b/>
          <w:color w:val="76923C" w:themeColor="accent3" w:themeShade="BF"/>
          <w:sz w:val="36"/>
          <w:szCs w:val="36"/>
        </w:rPr>
      </w:pPr>
      <w:r w:rsidRPr="00226A3C">
        <w:rPr>
          <w:rFonts w:ascii="Times New Roman" w:hAnsi="Times New Roman" w:cs="Times New Roman"/>
          <w:b/>
          <w:color w:val="76923C" w:themeColor="accent3" w:themeShade="BF"/>
          <w:sz w:val="36"/>
          <w:szCs w:val="36"/>
        </w:rPr>
        <w:t xml:space="preserve">Совета Контрольно-счетных органов </w:t>
      </w:r>
    </w:p>
    <w:p w:rsidR="006B25EE" w:rsidRPr="00226A3C" w:rsidRDefault="006B25EE" w:rsidP="006B25EE">
      <w:pPr>
        <w:spacing w:after="0" w:line="240" w:lineRule="auto"/>
        <w:jc w:val="center"/>
        <w:rPr>
          <w:rFonts w:ascii="Times New Roman" w:hAnsi="Times New Roman" w:cs="Times New Roman"/>
          <w:b/>
          <w:color w:val="76923C" w:themeColor="accent3" w:themeShade="BF"/>
          <w:sz w:val="36"/>
          <w:szCs w:val="36"/>
        </w:rPr>
      </w:pPr>
      <w:r w:rsidRPr="00226A3C">
        <w:rPr>
          <w:rFonts w:ascii="Times New Roman" w:hAnsi="Times New Roman" w:cs="Times New Roman"/>
          <w:b/>
          <w:color w:val="76923C" w:themeColor="accent3" w:themeShade="BF"/>
          <w:sz w:val="36"/>
          <w:szCs w:val="36"/>
        </w:rPr>
        <w:t>Томской области</w:t>
      </w:r>
    </w:p>
    <w:p w:rsidR="006B25EE" w:rsidRDefault="006B25EE" w:rsidP="006B25EE">
      <w:pPr>
        <w:spacing w:after="0" w:line="240" w:lineRule="auto"/>
        <w:jc w:val="center"/>
        <w:rPr>
          <w:rFonts w:ascii="Times New Roman" w:hAnsi="Times New Roman" w:cs="Times New Roman"/>
          <w:b/>
          <w:color w:val="76923C" w:themeColor="accent3" w:themeShade="BF"/>
          <w:sz w:val="36"/>
          <w:szCs w:val="36"/>
        </w:rPr>
      </w:pPr>
      <w:r>
        <w:rPr>
          <w:rFonts w:ascii="Times New Roman" w:hAnsi="Times New Roman" w:cs="Times New Roman"/>
          <w:b/>
          <w:color w:val="76923C" w:themeColor="accent3" w:themeShade="BF"/>
          <w:sz w:val="36"/>
          <w:szCs w:val="36"/>
        </w:rPr>
        <w:t xml:space="preserve">№ </w:t>
      </w:r>
      <w:r>
        <w:rPr>
          <w:rFonts w:ascii="Times New Roman" w:hAnsi="Times New Roman" w:cs="Times New Roman"/>
          <w:b/>
          <w:color w:val="76923C" w:themeColor="accent3" w:themeShade="BF"/>
          <w:sz w:val="36"/>
          <w:szCs w:val="36"/>
        </w:rPr>
        <w:t>3</w:t>
      </w:r>
      <w:r w:rsidRPr="00226A3C">
        <w:rPr>
          <w:rFonts w:ascii="Times New Roman" w:hAnsi="Times New Roman" w:cs="Times New Roman"/>
          <w:b/>
          <w:color w:val="76923C" w:themeColor="accent3" w:themeShade="BF"/>
          <w:sz w:val="36"/>
          <w:szCs w:val="36"/>
        </w:rPr>
        <w:t xml:space="preserve"> (</w:t>
      </w:r>
      <w:r>
        <w:rPr>
          <w:rFonts w:ascii="Times New Roman" w:hAnsi="Times New Roman" w:cs="Times New Roman"/>
          <w:b/>
          <w:color w:val="76923C" w:themeColor="accent3" w:themeShade="BF"/>
          <w:sz w:val="36"/>
          <w:szCs w:val="36"/>
        </w:rPr>
        <w:t>10</w:t>
      </w:r>
      <w:r w:rsidRPr="00226A3C">
        <w:rPr>
          <w:rFonts w:ascii="Times New Roman" w:hAnsi="Times New Roman" w:cs="Times New Roman"/>
          <w:b/>
          <w:color w:val="76923C" w:themeColor="accent3" w:themeShade="BF"/>
          <w:sz w:val="36"/>
          <w:szCs w:val="36"/>
        </w:rPr>
        <w:t>)</w:t>
      </w:r>
    </w:p>
    <w:p w:rsidR="006B25EE" w:rsidRDefault="006B25EE" w:rsidP="006B25EE">
      <w:pPr>
        <w:spacing w:after="0" w:line="240" w:lineRule="auto"/>
        <w:jc w:val="center"/>
        <w:rPr>
          <w:rFonts w:ascii="Times New Roman" w:hAnsi="Times New Roman" w:cs="Times New Roman"/>
          <w:b/>
          <w:color w:val="76923C" w:themeColor="accent3" w:themeShade="BF"/>
          <w:sz w:val="36"/>
          <w:szCs w:val="36"/>
        </w:rPr>
      </w:pPr>
    </w:p>
    <w:p w:rsidR="006B25EE" w:rsidRDefault="006B25EE" w:rsidP="006B25EE">
      <w:pPr>
        <w:spacing w:after="0" w:line="240" w:lineRule="auto"/>
        <w:jc w:val="center"/>
        <w:rPr>
          <w:rFonts w:ascii="Times New Roman" w:hAnsi="Times New Roman" w:cs="Times New Roman"/>
          <w:b/>
          <w:i/>
          <w:color w:val="76923C" w:themeColor="accent3" w:themeShade="BF"/>
          <w:sz w:val="28"/>
          <w:szCs w:val="28"/>
        </w:rPr>
      </w:pPr>
      <w:r>
        <w:rPr>
          <w:rFonts w:ascii="Times New Roman" w:hAnsi="Times New Roman" w:cs="Times New Roman"/>
          <w:b/>
          <w:i/>
          <w:color w:val="76923C" w:themeColor="accent3" w:themeShade="BF"/>
          <w:sz w:val="28"/>
          <w:szCs w:val="28"/>
        </w:rPr>
        <w:t>сентябр</w:t>
      </w:r>
      <w:r>
        <w:rPr>
          <w:rFonts w:ascii="Times New Roman" w:hAnsi="Times New Roman" w:cs="Times New Roman"/>
          <w:b/>
          <w:i/>
          <w:color w:val="76923C" w:themeColor="accent3" w:themeShade="BF"/>
          <w:sz w:val="28"/>
          <w:szCs w:val="28"/>
        </w:rPr>
        <w:t>ь</w:t>
      </w:r>
      <w:r w:rsidRPr="00226A3C">
        <w:rPr>
          <w:rFonts w:ascii="Times New Roman" w:hAnsi="Times New Roman" w:cs="Times New Roman"/>
          <w:b/>
          <w:i/>
          <w:color w:val="76923C" w:themeColor="accent3" w:themeShade="BF"/>
          <w:sz w:val="28"/>
          <w:szCs w:val="28"/>
        </w:rPr>
        <w:t>-2016</w:t>
      </w:r>
    </w:p>
    <w:p w:rsidR="006B25EE" w:rsidRDefault="006B25EE" w:rsidP="006B25EE">
      <w:pPr>
        <w:spacing w:after="0" w:line="240" w:lineRule="auto"/>
        <w:jc w:val="center"/>
        <w:rPr>
          <w:rFonts w:ascii="Times New Roman" w:hAnsi="Times New Roman" w:cs="Times New Roman"/>
          <w:b/>
          <w:i/>
          <w:color w:val="76923C" w:themeColor="accent3" w:themeShade="BF"/>
          <w:sz w:val="28"/>
          <w:szCs w:val="28"/>
        </w:rPr>
      </w:pPr>
      <w:bookmarkStart w:id="0" w:name="_GoBack"/>
      <w:bookmarkEnd w:id="0"/>
    </w:p>
    <w:p w:rsidR="006B25EE" w:rsidRPr="006B25EE" w:rsidRDefault="006B25EE" w:rsidP="006B25EE">
      <w:pPr>
        <w:shd w:val="clear" w:color="auto" w:fill="FFFFFF"/>
        <w:spacing w:before="100" w:beforeAutospacing="1" w:after="375" w:line="480" w:lineRule="atLeast"/>
        <w:jc w:val="both"/>
        <w:outlineLvl w:val="0"/>
        <w:rPr>
          <w:rFonts w:ascii="PTSansBold" w:eastAsia="Times New Roman" w:hAnsi="PTSansBold" w:cs="Times New Roman"/>
          <w:b/>
          <w:color w:val="000000"/>
          <w:kern w:val="36"/>
          <w:sz w:val="48"/>
          <w:szCs w:val="48"/>
          <w:lang w:eastAsia="ru-RU"/>
        </w:rPr>
      </w:pPr>
      <w:r>
        <w:rPr>
          <w:rFonts w:ascii="PTSansBold" w:eastAsia="Times New Roman" w:hAnsi="PTSansBold" w:cs="Times New Roman"/>
          <w:color w:val="000000"/>
          <w:kern w:val="36"/>
          <w:sz w:val="48"/>
          <w:szCs w:val="48"/>
          <w:lang w:eastAsia="ru-RU"/>
        </w:rPr>
        <w:tab/>
      </w:r>
      <w:r w:rsidRPr="006B25EE">
        <w:rPr>
          <w:rFonts w:ascii="PTSansBold" w:eastAsia="Times New Roman" w:hAnsi="PTSansBold" w:cs="Times New Roman"/>
          <w:b/>
          <w:color w:val="000000"/>
          <w:kern w:val="36"/>
          <w:sz w:val="48"/>
          <w:szCs w:val="48"/>
          <w:lang w:eastAsia="ru-RU"/>
        </w:rPr>
        <w:t>Счетная палата провела анализ исполнения в 2015 г. федерального бюджета, консолидированных бюджетов регионов и внебюджетных фондов</w:t>
      </w:r>
    </w:p>
    <w:p w:rsidR="006B25EE" w:rsidRPr="006B25EE" w:rsidRDefault="006B25EE" w:rsidP="006B25EE">
      <w:pPr>
        <w:shd w:val="clear" w:color="auto" w:fill="FFFFFF"/>
        <w:spacing w:line="180" w:lineRule="atLeast"/>
        <w:rPr>
          <w:rFonts w:ascii="PTSans" w:eastAsia="Times New Roman" w:hAnsi="PTSans" w:cs="Times New Roman"/>
          <w:color w:val="666666"/>
          <w:sz w:val="18"/>
          <w:szCs w:val="18"/>
          <w:lang w:eastAsia="ru-RU"/>
        </w:rPr>
      </w:pPr>
      <w:r w:rsidRPr="006B25EE">
        <w:rPr>
          <w:rFonts w:ascii="PTSans" w:eastAsia="Times New Roman" w:hAnsi="PTSans" w:cs="Times New Roman"/>
          <w:color w:val="666666"/>
          <w:sz w:val="18"/>
          <w:szCs w:val="18"/>
          <w:lang w:eastAsia="ru-RU"/>
        </w:rPr>
        <w:t>7 сентября 2016 г.</w:t>
      </w:r>
    </w:p>
    <w:p w:rsidR="006B25EE" w:rsidRPr="006B25EE" w:rsidRDefault="006B25EE" w:rsidP="006B25EE">
      <w:pPr>
        <w:shd w:val="clear" w:color="auto" w:fill="FFFFFF"/>
        <w:spacing w:before="100" w:beforeAutospacing="1" w:after="330" w:line="270" w:lineRule="atLeast"/>
        <w:rPr>
          <w:rFonts w:ascii="PTSans" w:eastAsia="Times New Roman" w:hAnsi="PTSans" w:cs="Times New Roman"/>
          <w:color w:val="666666"/>
          <w:sz w:val="20"/>
          <w:szCs w:val="20"/>
          <w:lang w:eastAsia="ru-RU"/>
        </w:rPr>
      </w:pPr>
      <w:r w:rsidRPr="006B25EE">
        <w:rPr>
          <w:rFonts w:ascii="PTSans" w:eastAsia="Times New Roman" w:hAnsi="PTSans" w:cs="Times New Roman"/>
          <w:color w:val="666666"/>
          <w:sz w:val="20"/>
          <w:szCs w:val="20"/>
          <w:lang w:eastAsia="ru-RU"/>
        </w:rPr>
        <w:t xml:space="preserve">Коллегия Счетной палаты Российской Федерации утвердила отчет об исполнении федерального бюджета за 2015 г. Документ подготовлен в соответствии с Бюджетным кодексом, Федеральным законом «О Счетной палате Российской Федерации» и соответствующим решением Совета Государственной Думы. Ниже приведены некоторые показатели, содержащиеся в документе. Полная информация доступна по </w:t>
      </w:r>
      <w:hyperlink r:id="rId7" w:history="1">
        <w:r w:rsidRPr="006B25EE">
          <w:rPr>
            <w:rFonts w:ascii="PTSans" w:eastAsia="Times New Roman" w:hAnsi="PTSans" w:cs="Times New Roman"/>
            <w:color w:val="18A4C1"/>
            <w:sz w:val="20"/>
            <w:szCs w:val="20"/>
            <w:u w:val="single"/>
            <w:lang w:eastAsia="ru-RU"/>
          </w:rPr>
          <w:t>ссылке</w:t>
        </w:r>
      </w:hyperlink>
      <w:r w:rsidRPr="006B25EE">
        <w:rPr>
          <w:rFonts w:ascii="PTSans" w:eastAsia="Times New Roman" w:hAnsi="PTSans" w:cs="Times New Roman"/>
          <w:color w:val="666666"/>
          <w:sz w:val="20"/>
          <w:szCs w:val="20"/>
          <w:lang w:eastAsia="ru-RU"/>
        </w:rPr>
        <w:t>. Также ниже приводится дополнительная информация по исполнению бюджетов внебюджетных фондов в 2015 г.</w:t>
      </w:r>
    </w:p>
    <w:p w:rsidR="006B25EE" w:rsidRPr="006B25EE" w:rsidRDefault="006B25EE" w:rsidP="006B25EE">
      <w:pPr>
        <w:shd w:val="clear" w:color="auto" w:fill="FFFFFF"/>
        <w:spacing w:before="100" w:beforeAutospacing="1" w:after="330" w:line="270" w:lineRule="atLeast"/>
        <w:rPr>
          <w:rFonts w:ascii="PTSans" w:eastAsia="Times New Roman" w:hAnsi="PTSans" w:cs="Times New Roman"/>
          <w:color w:val="666666"/>
          <w:sz w:val="20"/>
          <w:szCs w:val="20"/>
          <w:lang w:eastAsia="ru-RU"/>
        </w:rPr>
      </w:pPr>
      <w:r w:rsidRPr="006B25EE">
        <w:rPr>
          <w:rFonts w:ascii="PTSansBold" w:eastAsia="Times New Roman" w:hAnsi="PTSansBold" w:cs="Times New Roman"/>
          <w:b/>
          <w:bCs/>
          <w:color w:val="666666"/>
          <w:sz w:val="20"/>
          <w:szCs w:val="20"/>
          <w:lang w:eastAsia="ru-RU"/>
        </w:rPr>
        <w:t>ВВП</w:t>
      </w:r>
      <w:r w:rsidRPr="006B25EE">
        <w:rPr>
          <w:rFonts w:ascii="PTSans" w:eastAsia="Times New Roman" w:hAnsi="PTSans" w:cs="Times New Roman"/>
          <w:color w:val="666666"/>
          <w:sz w:val="20"/>
          <w:szCs w:val="20"/>
          <w:lang w:eastAsia="ru-RU"/>
        </w:rPr>
        <w:t xml:space="preserve"> по итогам 2015 г. составил 80,8 трлн руб. Темп роста ВВП по сравнению с 2014 г. составил 96,3% (в 2014 г. по сравнению с 2013 г. – 100,7%). Динамика ВВП по итогам 2015 г. снизилась на 3,7%, что наблюдается впервые с 2009 г., когда спад ВВП составил 7,8%. В 2015 г. ухудшилась динамика большинства основных макроэкономических показателей. </w:t>
      </w:r>
    </w:p>
    <w:p w:rsidR="006B25EE" w:rsidRPr="006B25EE" w:rsidRDefault="006B25EE" w:rsidP="006B25EE">
      <w:pPr>
        <w:shd w:val="clear" w:color="auto" w:fill="FFFFFF"/>
        <w:spacing w:before="100" w:beforeAutospacing="1" w:after="330" w:line="270" w:lineRule="atLeast"/>
        <w:rPr>
          <w:rFonts w:ascii="PTSans" w:eastAsia="Times New Roman" w:hAnsi="PTSans" w:cs="Times New Roman"/>
          <w:color w:val="666666"/>
          <w:sz w:val="20"/>
          <w:szCs w:val="20"/>
          <w:lang w:eastAsia="ru-RU"/>
        </w:rPr>
      </w:pPr>
      <w:r w:rsidRPr="006B25EE">
        <w:rPr>
          <w:rFonts w:ascii="PTSans" w:eastAsia="Times New Roman" w:hAnsi="PTSans" w:cs="Times New Roman"/>
          <w:color w:val="666666"/>
          <w:sz w:val="20"/>
          <w:szCs w:val="20"/>
          <w:lang w:eastAsia="ru-RU"/>
        </w:rPr>
        <w:t xml:space="preserve">Существенно снизились показатели, характеризующие внешнеэкономическую деятельность. Так, </w:t>
      </w:r>
      <w:r w:rsidRPr="006B25EE">
        <w:rPr>
          <w:rFonts w:ascii="PTSansBold" w:eastAsia="Times New Roman" w:hAnsi="PTSansBold" w:cs="Times New Roman"/>
          <w:b/>
          <w:bCs/>
          <w:color w:val="666666"/>
          <w:sz w:val="20"/>
          <w:szCs w:val="20"/>
          <w:lang w:eastAsia="ru-RU"/>
        </w:rPr>
        <w:t>торговый баланс</w:t>
      </w:r>
      <w:r w:rsidRPr="006B25EE">
        <w:rPr>
          <w:rFonts w:ascii="PTSans" w:eastAsia="Times New Roman" w:hAnsi="PTSans" w:cs="Times New Roman"/>
          <w:color w:val="666666"/>
          <w:sz w:val="20"/>
          <w:szCs w:val="20"/>
          <w:lang w:eastAsia="ru-RU"/>
        </w:rPr>
        <w:t xml:space="preserve"> в 2015 г. снизился и составил 78,6 % уровня 2014 г. (в 2014 г. по сравнению с 2013 г. – 104,6 %), в том числе </w:t>
      </w:r>
      <w:r w:rsidRPr="006B25EE">
        <w:rPr>
          <w:rFonts w:ascii="PTSansBold" w:eastAsia="Times New Roman" w:hAnsi="PTSansBold" w:cs="Times New Roman"/>
          <w:b/>
          <w:bCs/>
          <w:color w:val="666666"/>
          <w:sz w:val="20"/>
          <w:szCs w:val="20"/>
          <w:lang w:eastAsia="ru-RU"/>
        </w:rPr>
        <w:t>экспорт товаров</w:t>
      </w:r>
      <w:r w:rsidRPr="006B25EE">
        <w:rPr>
          <w:rFonts w:ascii="PTSans" w:eastAsia="Times New Roman" w:hAnsi="PTSans" w:cs="Times New Roman"/>
          <w:color w:val="666666"/>
          <w:sz w:val="20"/>
          <w:szCs w:val="20"/>
          <w:lang w:eastAsia="ru-RU"/>
        </w:rPr>
        <w:t xml:space="preserve"> – 68,7 % (95,2%), </w:t>
      </w:r>
      <w:r w:rsidRPr="006B25EE">
        <w:rPr>
          <w:rFonts w:ascii="PTSansBold" w:eastAsia="Times New Roman" w:hAnsi="PTSansBold" w:cs="Times New Roman"/>
          <w:b/>
          <w:bCs/>
          <w:color w:val="666666"/>
          <w:sz w:val="20"/>
          <w:szCs w:val="20"/>
          <w:lang w:eastAsia="ru-RU"/>
        </w:rPr>
        <w:t>импорт товаров</w:t>
      </w:r>
      <w:r w:rsidRPr="006B25EE">
        <w:rPr>
          <w:rFonts w:ascii="PTSans" w:eastAsia="Times New Roman" w:hAnsi="PTSans" w:cs="Times New Roman"/>
          <w:color w:val="666666"/>
          <w:sz w:val="20"/>
          <w:szCs w:val="20"/>
          <w:lang w:eastAsia="ru-RU"/>
        </w:rPr>
        <w:t xml:space="preserve"> – 62,7 % (90,2%). </w:t>
      </w:r>
    </w:p>
    <w:p w:rsidR="006B25EE" w:rsidRPr="006B25EE" w:rsidRDefault="006B25EE" w:rsidP="006B25EE">
      <w:pPr>
        <w:shd w:val="clear" w:color="auto" w:fill="FFFFFF"/>
        <w:spacing w:before="100" w:beforeAutospacing="1" w:after="330" w:line="270" w:lineRule="atLeast"/>
        <w:rPr>
          <w:rFonts w:ascii="PTSans" w:eastAsia="Times New Roman" w:hAnsi="PTSans" w:cs="Times New Roman"/>
          <w:color w:val="666666"/>
          <w:sz w:val="20"/>
          <w:szCs w:val="20"/>
          <w:lang w:eastAsia="ru-RU"/>
        </w:rPr>
      </w:pPr>
      <w:r w:rsidRPr="006B25EE">
        <w:rPr>
          <w:rFonts w:ascii="PTSans" w:eastAsia="Times New Roman" w:hAnsi="PTSans" w:cs="Times New Roman"/>
          <w:color w:val="666666"/>
          <w:sz w:val="20"/>
          <w:szCs w:val="20"/>
          <w:lang w:eastAsia="ru-RU"/>
        </w:rPr>
        <w:t>Сокращение товарного экспорта обусловлено ухудшением конъюнктуры мирового рынка для основных товаров традиционного российского экспорта, включая падение мировых цен на нефть марки «Юралс». Так, средняя цена на нефть марки «Юралс» в 2015 г. составила $51,23 за баррель, что на 47,5% ниже уровня 2014 г. ($97,6 за баррель).</w:t>
      </w:r>
    </w:p>
    <w:p w:rsidR="006B25EE" w:rsidRPr="006B25EE" w:rsidRDefault="006B25EE" w:rsidP="006B25EE">
      <w:pPr>
        <w:shd w:val="clear" w:color="auto" w:fill="FFFFFF"/>
        <w:spacing w:before="100" w:beforeAutospacing="1" w:after="330" w:line="270" w:lineRule="atLeast"/>
        <w:rPr>
          <w:rFonts w:ascii="PTSans" w:eastAsia="Times New Roman" w:hAnsi="PTSans" w:cs="Times New Roman"/>
          <w:color w:val="666666"/>
          <w:sz w:val="20"/>
          <w:szCs w:val="20"/>
          <w:lang w:eastAsia="ru-RU"/>
        </w:rPr>
      </w:pPr>
      <w:r w:rsidRPr="006B25EE">
        <w:rPr>
          <w:rFonts w:ascii="PTSans" w:eastAsia="Times New Roman" w:hAnsi="PTSans" w:cs="Times New Roman"/>
          <w:color w:val="666666"/>
          <w:sz w:val="20"/>
          <w:szCs w:val="20"/>
          <w:lang w:eastAsia="ru-RU"/>
        </w:rPr>
        <w:lastRenderedPageBreak/>
        <w:t xml:space="preserve">Продолжилось падение инвестиций в основной капитал, динамика которых в 2015 г. по сравнению с 2014 г. составила 91,6% (в 2014 г. по сравнению с 2013 г. – 98,5%). По ряду видов экономической деятельности, в которых в 2014 г. наблюдался рост, в 2015 г. было отмечено снижение. Так, объем платных услуг населению составил 98% (в 2014 г. по сравнению с 2013 г. - 101,3 %), </w:t>
      </w:r>
      <w:r w:rsidRPr="006B25EE">
        <w:rPr>
          <w:rFonts w:ascii="PTSansBold" w:eastAsia="Times New Roman" w:hAnsi="PTSansBold" w:cs="Times New Roman"/>
          <w:b/>
          <w:bCs/>
          <w:color w:val="666666"/>
          <w:sz w:val="20"/>
          <w:szCs w:val="20"/>
          <w:lang w:eastAsia="ru-RU"/>
        </w:rPr>
        <w:t>индекс промышленного производства</w:t>
      </w:r>
      <w:r w:rsidRPr="006B25EE">
        <w:rPr>
          <w:rFonts w:ascii="PTSans" w:eastAsia="Times New Roman" w:hAnsi="PTSans" w:cs="Times New Roman"/>
          <w:color w:val="666666"/>
          <w:sz w:val="20"/>
          <w:szCs w:val="20"/>
          <w:lang w:eastAsia="ru-RU"/>
        </w:rPr>
        <w:t xml:space="preserve"> - 96,6% (101,7%). При этом падение темпов промышленного производства было менее глубоким, чем сокращение ВВП. Положительная динамика по итогам 2015 г. зафиксирована лишь в производстве продукции сельского хозяйства – 103% и по грузообороту транспорта – 100,2%.</w:t>
      </w:r>
    </w:p>
    <w:p w:rsidR="006B25EE" w:rsidRPr="006B25EE" w:rsidRDefault="006B25EE" w:rsidP="006B25EE">
      <w:pPr>
        <w:shd w:val="clear" w:color="auto" w:fill="FFFFFF"/>
        <w:spacing w:before="100" w:beforeAutospacing="1" w:after="330" w:line="270" w:lineRule="atLeast"/>
        <w:rPr>
          <w:rFonts w:ascii="PTSans" w:eastAsia="Times New Roman" w:hAnsi="PTSans" w:cs="Times New Roman"/>
          <w:color w:val="666666"/>
          <w:sz w:val="20"/>
          <w:szCs w:val="20"/>
          <w:lang w:eastAsia="ru-RU"/>
        </w:rPr>
      </w:pPr>
      <w:r w:rsidRPr="006B25EE">
        <w:rPr>
          <w:rFonts w:ascii="PTSans" w:eastAsia="Times New Roman" w:hAnsi="PTSans" w:cs="Times New Roman"/>
          <w:color w:val="666666"/>
          <w:sz w:val="20"/>
          <w:szCs w:val="20"/>
          <w:lang w:eastAsia="ru-RU"/>
        </w:rPr>
        <w:t>Существенное влияние на экономическую динамику оказало снижение совокупного внутреннего спроса на товары и услуги. При этом если в 2014 г. при снижении инвестиционного спроса потребительский спрос демонстрировал положительную динамику, то в 2015 г. к продолжающемуся снижению инвестиционного спроса добавилось падение потребительского спроса.</w:t>
      </w:r>
    </w:p>
    <w:p w:rsidR="006B25EE" w:rsidRPr="006B25EE" w:rsidRDefault="006B25EE" w:rsidP="006B25EE">
      <w:pPr>
        <w:shd w:val="clear" w:color="auto" w:fill="FFFFFF"/>
        <w:spacing w:before="100" w:beforeAutospacing="1" w:after="330" w:line="270" w:lineRule="atLeast"/>
        <w:rPr>
          <w:rFonts w:ascii="PTSans" w:eastAsia="Times New Roman" w:hAnsi="PTSans" w:cs="Times New Roman"/>
          <w:color w:val="666666"/>
          <w:sz w:val="20"/>
          <w:szCs w:val="20"/>
          <w:lang w:eastAsia="ru-RU"/>
        </w:rPr>
      </w:pPr>
      <w:r w:rsidRPr="006B25EE">
        <w:rPr>
          <w:rFonts w:ascii="PTSansBold" w:eastAsia="Times New Roman" w:hAnsi="PTSansBold" w:cs="Times New Roman"/>
          <w:b/>
          <w:bCs/>
          <w:color w:val="666666"/>
          <w:sz w:val="20"/>
          <w:szCs w:val="20"/>
          <w:lang w:eastAsia="ru-RU"/>
        </w:rPr>
        <w:t>Уровень инфляции</w:t>
      </w:r>
      <w:r w:rsidRPr="006B25EE">
        <w:rPr>
          <w:rFonts w:ascii="PTSans" w:eastAsia="Times New Roman" w:hAnsi="PTSans" w:cs="Times New Roman"/>
          <w:color w:val="666666"/>
          <w:sz w:val="20"/>
          <w:szCs w:val="20"/>
          <w:lang w:eastAsia="ru-RU"/>
        </w:rPr>
        <w:t xml:space="preserve"> по итогам 2015 г. составил 12,9%, что на 1,5 проц. пункта выше показателя 2014 г. </w:t>
      </w:r>
    </w:p>
    <w:p w:rsidR="006B25EE" w:rsidRPr="006B25EE" w:rsidRDefault="006B25EE" w:rsidP="006B25EE">
      <w:pPr>
        <w:shd w:val="clear" w:color="auto" w:fill="FFFFFF"/>
        <w:spacing w:before="100" w:beforeAutospacing="1" w:after="330" w:line="270" w:lineRule="atLeast"/>
        <w:rPr>
          <w:rFonts w:ascii="PTSans" w:eastAsia="Times New Roman" w:hAnsi="PTSans" w:cs="Times New Roman"/>
          <w:color w:val="666666"/>
          <w:sz w:val="20"/>
          <w:szCs w:val="20"/>
          <w:lang w:eastAsia="ru-RU"/>
        </w:rPr>
      </w:pPr>
      <w:r w:rsidRPr="006B25EE">
        <w:rPr>
          <w:rFonts w:ascii="PTSansBold" w:eastAsia="Times New Roman" w:hAnsi="PTSansBold" w:cs="Times New Roman"/>
          <w:b/>
          <w:bCs/>
          <w:color w:val="666666"/>
          <w:sz w:val="20"/>
          <w:szCs w:val="20"/>
          <w:lang w:eastAsia="ru-RU"/>
        </w:rPr>
        <w:t>Динамика реальных располагаемых денежных доходов населения</w:t>
      </w:r>
      <w:r w:rsidRPr="006B25EE">
        <w:rPr>
          <w:rFonts w:ascii="PTSans" w:eastAsia="Times New Roman" w:hAnsi="PTSans" w:cs="Times New Roman"/>
          <w:color w:val="666666"/>
          <w:sz w:val="20"/>
          <w:szCs w:val="20"/>
          <w:lang w:eastAsia="ru-RU"/>
        </w:rPr>
        <w:t xml:space="preserve"> по итогам 2015 г. продолжила наблюдавшееся в 2014 г. снижение и составила 95,7% (в 2014 г. – 99,3%), реальная начисленная среднемесячная заработная плата упала на 9% (в 2014 г. – увеличение на 1,2%), реальный размер назначенных пенсий снизился на 3,8% (рост на 0,9%).</w:t>
      </w:r>
    </w:p>
    <w:p w:rsidR="006B25EE" w:rsidRPr="006B25EE" w:rsidRDefault="006B25EE" w:rsidP="006B25EE">
      <w:pPr>
        <w:shd w:val="clear" w:color="auto" w:fill="FFFFFF"/>
        <w:spacing w:before="100" w:beforeAutospacing="1" w:after="330" w:line="270" w:lineRule="atLeast"/>
        <w:rPr>
          <w:rFonts w:ascii="PTSans" w:eastAsia="Times New Roman" w:hAnsi="PTSans" w:cs="Times New Roman"/>
          <w:color w:val="666666"/>
          <w:sz w:val="20"/>
          <w:szCs w:val="20"/>
          <w:lang w:eastAsia="ru-RU"/>
        </w:rPr>
      </w:pPr>
      <w:r w:rsidRPr="006B25EE">
        <w:rPr>
          <w:rFonts w:ascii="PTSansBold" w:eastAsia="Times New Roman" w:hAnsi="PTSansBold" w:cs="Times New Roman"/>
          <w:b/>
          <w:bCs/>
          <w:color w:val="666666"/>
          <w:sz w:val="20"/>
          <w:szCs w:val="20"/>
          <w:lang w:eastAsia="ru-RU"/>
        </w:rPr>
        <w:t>Общая численность безработных</w:t>
      </w:r>
      <w:r w:rsidRPr="006B25EE">
        <w:rPr>
          <w:rFonts w:ascii="PTSans" w:eastAsia="Times New Roman" w:hAnsi="PTSans" w:cs="Times New Roman"/>
          <w:color w:val="666666"/>
          <w:sz w:val="20"/>
          <w:szCs w:val="20"/>
          <w:lang w:eastAsia="ru-RU"/>
        </w:rPr>
        <w:t xml:space="preserve"> в среднемесячном исчислении в 2015 г. по сравнению с 2014 г. увеличилась на 375 тыс. человек и составила 4,264 млн человек. Уровень безработицы в процентах к экономически активному населению в 2015 г. вырос по сравнению с 2014 г. и составил 5,6% (в 2014 году – 5,2%).</w:t>
      </w:r>
    </w:p>
    <w:p w:rsidR="006B25EE" w:rsidRPr="006B25EE" w:rsidRDefault="006B25EE" w:rsidP="006B25EE">
      <w:pPr>
        <w:shd w:val="clear" w:color="auto" w:fill="FFFFFF"/>
        <w:spacing w:before="100" w:beforeAutospacing="1" w:after="330" w:line="270" w:lineRule="atLeast"/>
        <w:rPr>
          <w:rFonts w:ascii="PTSans" w:eastAsia="Times New Roman" w:hAnsi="PTSans" w:cs="Times New Roman"/>
          <w:color w:val="666666"/>
          <w:sz w:val="20"/>
          <w:szCs w:val="20"/>
          <w:lang w:eastAsia="ru-RU"/>
        </w:rPr>
      </w:pPr>
      <w:r w:rsidRPr="006B25EE">
        <w:rPr>
          <w:rFonts w:ascii="PTSans" w:eastAsia="Times New Roman" w:hAnsi="PTSans" w:cs="Times New Roman"/>
          <w:color w:val="666666"/>
          <w:sz w:val="20"/>
          <w:szCs w:val="20"/>
          <w:lang w:eastAsia="ru-RU"/>
        </w:rPr>
        <w:t xml:space="preserve">В 2015 г. </w:t>
      </w:r>
      <w:r w:rsidRPr="006B25EE">
        <w:rPr>
          <w:rFonts w:ascii="PTSansBold" w:eastAsia="Times New Roman" w:hAnsi="PTSansBold" w:cs="Times New Roman"/>
          <w:b/>
          <w:bCs/>
          <w:color w:val="666666"/>
          <w:sz w:val="20"/>
          <w:szCs w:val="20"/>
          <w:lang w:eastAsia="ru-RU"/>
        </w:rPr>
        <w:t>официальный номинальный курс доллара США к рублю</w:t>
      </w:r>
      <w:r w:rsidRPr="006B25EE">
        <w:rPr>
          <w:rFonts w:ascii="PTSans" w:eastAsia="Times New Roman" w:hAnsi="PTSans" w:cs="Times New Roman"/>
          <w:color w:val="666666"/>
          <w:sz w:val="20"/>
          <w:szCs w:val="20"/>
          <w:lang w:eastAsia="ru-RU"/>
        </w:rPr>
        <w:t xml:space="preserve"> составил 60,66 руб. за доллар США, что на 22,69 руб. или в 1,6 раза больше, чем в 2014 г. (37,97 руб. за доллар США).</w:t>
      </w:r>
    </w:p>
    <w:p w:rsidR="006B25EE" w:rsidRPr="006B25EE" w:rsidRDefault="006B25EE" w:rsidP="006B25EE">
      <w:pPr>
        <w:shd w:val="clear" w:color="auto" w:fill="FFFFFF"/>
        <w:spacing w:before="100" w:beforeAutospacing="1" w:after="330" w:line="270" w:lineRule="atLeast"/>
        <w:rPr>
          <w:rFonts w:ascii="PTSans" w:eastAsia="Times New Roman" w:hAnsi="PTSans" w:cs="Times New Roman"/>
          <w:color w:val="666666"/>
          <w:sz w:val="20"/>
          <w:szCs w:val="20"/>
          <w:lang w:eastAsia="ru-RU"/>
        </w:rPr>
      </w:pPr>
      <w:r w:rsidRPr="006B25EE">
        <w:rPr>
          <w:rFonts w:ascii="PTSansBold" w:eastAsia="Times New Roman" w:hAnsi="PTSansBold" w:cs="Times New Roman"/>
          <w:b/>
          <w:bCs/>
          <w:color w:val="666666"/>
          <w:sz w:val="20"/>
          <w:szCs w:val="20"/>
          <w:lang w:eastAsia="ru-RU"/>
        </w:rPr>
        <w:t>Доходы федерального бюджета</w:t>
      </w:r>
      <w:r w:rsidRPr="006B25EE">
        <w:rPr>
          <w:rFonts w:ascii="PTSans" w:eastAsia="Times New Roman" w:hAnsi="PTSans" w:cs="Times New Roman"/>
          <w:color w:val="666666"/>
          <w:sz w:val="20"/>
          <w:szCs w:val="20"/>
          <w:lang w:eastAsia="ru-RU"/>
        </w:rPr>
        <w:t xml:space="preserve"> в 2015 г. без учета некассовых операций от уменьшения имущественного взноса Российской Федерации в имущество ГК «Агентство по страхованию вкладов» (в сумме 162 млрд руб.) составили 13,5 трлн руб., что на 0,2 трлн руб., или на 1,9% больше прогнозного объема (13,3 трлн руб.).</w:t>
      </w:r>
    </w:p>
    <w:p w:rsidR="006B25EE" w:rsidRPr="006B25EE" w:rsidRDefault="006B25EE" w:rsidP="006B25EE">
      <w:pPr>
        <w:shd w:val="clear" w:color="auto" w:fill="FFFFFF"/>
        <w:spacing w:before="100" w:beforeAutospacing="1" w:after="330" w:line="270" w:lineRule="atLeast"/>
        <w:rPr>
          <w:rFonts w:ascii="PTSans" w:eastAsia="Times New Roman" w:hAnsi="PTSans" w:cs="Times New Roman"/>
          <w:color w:val="666666"/>
          <w:sz w:val="20"/>
          <w:szCs w:val="20"/>
          <w:lang w:eastAsia="ru-RU"/>
        </w:rPr>
      </w:pPr>
      <w:r w:rsidRPr="006B25EE">
        <w:rPr>
          <w:rFonts w:ascii="PTSansBold" w:eastAsia="Times New Roman" w:hAnsi="PTSansBold" w:cs="Times New Roman"/>
          <w:b/>
          <w:bCs/>
          <w:color w:val="666666"/>
          <w:sz w:val="20"/>
          <w:szCs w:val="20"/>
          <w:lang w:eastAsia="ru-RU"/>
        </w:rPr>
        <w:t>Дополнительные поступления</w:t>
      </w:r>
      <w:r w:rsidRPr="006B25EE">
        <w:rPr>
          <w:rFonts w:ascii="PTSans" w:eastAsia="Times New Roman" w:hAnsi="PTSans" w:cs="Times New Roman"/>
          <w:color w:val="666666"/>
          <w:sz w:val="20"/>
          <w:szCs w:val="20"/>
          <w:lang w:eastAsia="ru-RU"/>
        </w:rPr>
        <w:t xml:space="preserve"> в 2015 г. в доход федерального бюджета могли быть обеспечены в результате активизации работы по сокращению задолженности по налогам, пошлинам и сборам перед бюджетом, инвентаризации налоговых льгот и освобождений в целях оценки их эффективности и сокращения неэффективных преференций, по усилению контроля за своевременным возвратом сумм излишне уплаченных налогов, сборов и страховых взносов.</w:t>
      </w:r>
    </w:p>
    <w:p w:rsidR="006B25EE" w:rsidRPr="006B25EE" w:rsidRDefault="006B25EE" w:rsidP="006B25EE">
      <w:pPr>
        <w:shd w:val="clear" w:color="auto" w:fill="FFFFFF"/>
        <w:spacing w:before="100" w:beforeAutospacing="1" w:after="330" w:line="270" w:lineRule="atLeast"/>
        <w:rPr>
          <w:rFonts w:ascii="PTSans" w:eastAsia="Times New Roman" w:hAnsi="PTSans" w:cs="Times New Roman"/>
          <w:color w:val="666666"/>
          <w:sz w:val="20"/>
          <w:szCs w:val="20"/>
          <w:lang w:eastAsia="ru-RU"/>
        </w:rPr>
      </w:pPr>
      <w:r w:rsidRPr="006B25EE">
        <w:rPr>
          <w:rFonts w:ascii="PTSans" w:eastAsia="Times New Roman" w:hAnsi="PTSans" w:cs="Times New Roman"/>
          <w:color w:val="666666"/>
          <w:sz w:val="20"/>
          <w:szCs w:val="20"/>
          <w:lang w:eastAsia="ru-RU"/>
        </w:rPr>
        <w:t>Объем совокупной задолженности по налогам, сборам, таможенным платежам, пеням и штрафам в бюджетную систему Российской Федерации и платежам в государственные внебюджетные фонды Российской Федерации на 1 января 2016 г. составил 1 199,6 млрд руб.; в результате предоставления различного рода освобождений от уплаты налоговых и таможенных платежей в 2015 г. не поступило доходов на сумму 9 230,5 млрд руб.; за несвоевременный возврат сумм излишне уплаченных налогов, сборов и страховых взносов из бюджета выплачены проценты в сумме 1,6 млрд руб.</w:t>
      </w:r>
    </w:p>
    <w:p w:rsidR="006B25EE" w:rsidRPr="006B25EE" w:rsidRDefault="006B25EE" w:rsidP="006B25EE">
      <w:pPr>
        <w:shd w:val="clear" w:color="auto" w:fill="FFFFFF"/>
        <w:spacing w:before="100" w:beforeAutospacing="1" w:after="330" w:line="270" w:lineRule="atLeast"/>
        <w:rPr>
          <w:rFonts w:ascii="PTSans" w:eastAsia="Times New Roman" w:hAnsi="PTSans" w:cs="Times New Roman"/>
          <w:color w:val="666666"/>
          <w:sz w:val="20"/>
          <w:szCs w:val="20"/>
          <w:lang w:eastAsia="ru-RU"/>
        </w:rPr>
      </w:pPr>
      <w:r w:rsidRPr="006B25EE">
        <w:rPr>
          <w:rFonts w:ascii="PTSans" w:eastAsia="Times New Roman" w:hAnsi="PTSans" w:cs="Times New Roman"/>
          <w:color w:val="666666"/>
          <w:sz w:val="20"/>
          <w:szCs w:val="20"/>
          <w:lang w:eastAsia="ru-RU"/>
        </w:rPr>
        <w:t xml:space="preserve">В 2015 г. администрирование и прогнозирование налоговых и неналоговых доходов федерального бюджета осуществлялось на недостаточном уровне. По 72 главным администраторам доходов объем поступивших доходов превысил прогнозные показатели на 2015 г., из них по 16 - превышение уточненного прогноза составило от 2 раз до 133,8 раза (Минприроды России, в основном, в связи с поступлением непрогнозируемых администратором прочих доходов от компенсации затрат федерального бюджета, доходов федерального бюджета от возврата остатков субсидий и иных межбюджетных трансфертов, имеющих целевое назначение, прошлых лет). Однако 10 главных администраторов доходов не выполнили показатели по доходам, установленные уточненным прогнозом к Федеральному закону № 384-ФЗ (с изменениями), из них по 4 уровень недоисполнения составил от 9,2% до 54% (Спецстрой России, в основном из-за недопоступления прочих целевых отчислений от всероссийских государственных лотерей). </w:t>
      </w:r>
    </w:p>
    <w:p w:rsidR="006B25EE" w:rsidRPr="006B25EE" w:rsidRDefault="006B25EE" w:rsidP="006B25EE">
      <w:pPr>
        <w:shd w:val="clear" w:color="auto" w:fill="FFFFFF"/>
        <w:spacing w:before="100" w:beforeAutospacing="1" w:after="330" w:line="270" w:lineRule="atLeast"/>
        <w:rPr>
          <w:rFonts w:ascii="PTSans" w:eastAsia="Times New Roman" w:hAnsi="PTSans" w:cs="Times New Roman"/>
          <w:color w:val="666666"/>
          <w:sz w:val="20"/>
          <w:szCs w:val="20"/>
          <w:lang w:eastAsia="ru-RU"/>
        </w:rPr>
      </w:pPr>
      <w:r w:rsidRPr="006B25EE">
        <w:rPr>
          <w:rFonts w:ascii="PTSans" w:eastAsia="Times New Roman" w:hAnsi="PTSans" w:cs="Times New Roman"/>
          <w:color w:val="666666"/>
          <w:sz w:val="20"/>
          <w:szCs w:val="20"/>
          <w:lang w:eastAsia="ru-RU"/>
        </w:rPr>
        <w:t>Результаты проверок Счетной палаты свидетельствуют, что только у 46 из 89 главных администраторов доходов, по которым в 2015 г. в федеральный бюджет поступили доходы, были разработаны методики расчета прогноза поступлений доходов в соответствии с общими требованиями, установленными Правительством Российской Федерации.</w:t>
      </w:r>
    </w:p>
    <w:p w:rsidR="006B25EE" w:rsidRPr="006B25EE" w:rsidRDefault="006B25EE" w:rsidP="006B25EE">
      <w:pPr>
        <w:shd w:val="clear" w:color="auto" w:fill="FFFFFF"/>
        <w:spacing w:before="100" w:beforeAutospacing="1" w:after="330" w:line="270" w:lineRule="atLeast"/>
        <w:rPr>
          <w:rFonts w:ascii="PTSans" w:eastAsia="Times New Roman" w:hAnsi="PTSans" w:cs="Times New Roman"/>
          <w:color w:val="666666"/>
          <w:sz w:val="20"/>
          <w:szCs w:val="20"/>
          <w:lang w:eastAsia="ru-RU"/>
        </w:rPr>
      </w:pPr>
      <w:r w:rsidRPr="006B25EE">
        <w:rPr>
          <w:rFonts w:ascii="PTSans" w:eastAsia="Times New Roman" w:hAnsi="PTSans" w:cs="Times New Roman"/>
          <w:color w:val="666666"/>
          <w:sz w:val="20"/>
          <w:szCs w:val="20"/>
          <w:lang w:eastAsia="ru-RU"/>
        </w:rPr>
        <w:t>В 2015 г. отдельными главными администраторами доходов не в полной мере проведена работа по приведению нормативных правовых актов, договоров, согласно которым уплачиваются платежи, являющиеся источниками неналоговых доходов бюджетов, в соответствие с требованиями пункта 6 статьи 41 Бюджетного кодекса Российской Федерации.</w:t>
      </w:r>
    </w:p>
    <w:p w:rsidR="006B25EE" w:rsidRPr="006B25EE" w:rsidRDefault="006B25EE" w:rsidP="006B25EE">
      <w:pPr>
        <w:shd w:val="clear" w:color="auto" w:fill="FFFFFF"/>
        <w:spacing w:before="100" w:beforeAutospacing="1" w:after="330" w:line="270" w:lineRule="atLeast"/>
        <w:rPr>
          <w:rFonts w:ascii="PTSans" w:eastAsia="Times New Roman" w:hAnsi="PTSans" w:cs="Times New Roman"/>
          <w:color w:val="666666"/>
          <w:sz w:val="20"/>
          <w:szCs w:val="20"/>
          <w:lang w:eastAsia="ru-RU"/>
        </w:rPr>
      </w:pPr>
      <w:r w:rsidRPr="006B25EE">
        <w:rPr>
          <w:rFonts w:ascii="PTSans" w:eastAsia="Times New Roman" w:hAnsi="PTSans" w:cs="Times New Roman"/>
          <w:color w:val="666666"/>
          <w:sz w:val="20"/>
          <w:szCs w:val="20"/>
          <w:lang w:eastAsia="ru-RU"/>
        </w:rPr>
        <w:t>Кроме того, проверками Счетной палаты выявлено значительное количество нарушений при выполнении федеральными органами исполнительной власти полномочий собственника имущества федеральных государственных унитарных предприятий, в том числе нарушение сроков перечисления части чистой прибыли ФГУП, неперечисление части чистой прибыли предприятий, подлежащей перечислению в федеральный бюджет в 2015 г., а также принятие решений об установлении части чистой прибыли ФГУП в размере менее 25% при отсутствии соответствующих решений Правительства России.</w:t>
      </w:r>
    </w:p>
    <w:p w:rsidR="006B25EE" w:rsidRPr="006B25EE" w:rsidRDefault="006B25EE" w:rsidP="006B25EE">
      <w:pPr>
        <w:shd w:val="clear" w:color="auto" w:fill="FFFFFF"/>
        <w:spacing w:before="100" w:beforeAutospacing="1" w:after="330" w:line="270" w:lineRule="atLeast"/>
        <w:rPr>
          <w:rFonts w:ascii="PTSans" w:eastAsia="Times New Roman" w:hAnsi="PTSans" w:cs="Times New Roman"/>
          <w:color w:val="666666"/>
          <w:sz w:val="20"/>
          <w:szCs w:val="20"/>
          <w:lang w:eastAsia="ru-RU"/>
        </w:rPr>
      </w:pPr>
      <w:r w:rsidRPr="006B25EE">
        <w:rPr>
          <w:rFonts w:ascii="PTSansBold" w:eastAsia="Times New Roman" w:hAnsi="PTSansBold" w:cs="Times New Roman"/>
          <w:b/>
          <w:bCs/>
          <w:color w:val="666666"/>
          <w:sz w:val="20"/>
          <w:szCs w:val="20"/>
          <w:lang w:eastAsia="ru-RU"/>
        </w:rPr>
        <w:t>Дебиторская задолженность федерального бюджета по доходам</w:t>
      </w:r>
      <w:r w:rsidRPr="006B25EE">
        <w:rPr>
          <w:rFonts w:ascii="PTSans" w:eastAsia="Times New Roman" w:hAnsi="PTSans" w:cs="Times New Roman"/>
          <w:color w:val="666666"/>
          <w:sz w:val="20"/>
          <w:szCs w:val="20"/>
          <w:lang w:eastAsia="ru-RU"/>
        </w:rPr>
        <w:t xml:space="preserve"> за 2015 г. увеличилась на </w:t>
      </w:r>
      <w:r w:rsidRPr="006B25EE">
        <w:rPr>
          <w:rFonts w:ascii="PTSansBold" w:eastAsia="Times New Roman" w:hAnsi="PTSansBold" w:cs="Times New Roman"/>
          <w:b/>
          <w:bCs/>
          <w:color w:val="666666"/>
          <w:sz w:val="20"/>
          <w:szCs w:val="20"/>
          <w:lang w:eastAsia="ru-RU"/>
        </w:rPr>
        <w:t xml:space="preserve">18,1 % </w:t>
      </w:r>
      <w:r w:rsidRPr="006B25EE">
        <w:rPr>
          <w:rFonts w:ascii="PTSans" w:eastAsia="Times New Roman" w:hAnsi="PTSans" w:cs="Times New Roman"/>
          <w:color w:val="666666"/>
          <w:sz w:val="20"/>
          <w:szCs w:val="20"/>
          <w:lang w:eastAsia="ru-RU"/>
        </w:rPr>
        <w:t xml:space="preserve">и составила </w:t>
      </w:r>
      <w:r w:rsidRPr="006B25EE">
        <w:rPr>
          <w:rFonts w:ascii="PTSansBold" w:eastAsia="Times New Roman" w:hAnsi="PTSansBold" w:cs="Times New Roman"/>
          <w:b/>
          <w:bCs/>
          <w:color w:val="666666"/>
          <w:sz w:val="20"/>
          <w:szCs w:val="20"/>
          <w:lang w:eastAsia="ru-RU"/>
        </w:rPr>
        <w:t xml:space="preserve">1,9 трлн руб. </w:t>
      </w:r>
      <w:r w:rsidRPr="006B25EE">
        <w:rPr>
          <w:rFonts w:ascii="PTSans" w:eastAsia="Times New Roman" w:hAnsi="PTSans" w:cs="Times New Roman"/>
          <w:color w:val="666666"/>
          <w:sz w:val="20"/>
          <w:szCs w:val="20"/>
          <w:lang w:eastAsia="ru-RU"/>
        </w:rPr>
        <w:t>Большая часть мероприятий Правительства России по сокращению дебиторской задолженности по доходам будет реализована в 2016 г. При этом до настоящего времени не определен федеральный орган исполнительной власти, ответственный за координацию деятельности Правительства в этой области. По экспертной оценке Счетной палаты, своевременная и качественная реализация мероприятий Правительства России по сокращению дебиторской задолженности по доходам позволила бы получить в 2016 - 2017 гг. дополнительные доходы в объеме не менее 50 - 60 млрд руб.</w:t>
      </w:r>
    </w:p>
    <w:p w:rsidR="006B25EE" w:rsidRPr="006B25EE" w:rsidRDefault="006B25EE" w:rsidP="006B25EE">
      <w:pPr>
        <w:shd w:val="clear" w:color="auto" w:fill="FFFFFF"/>
        <w:spacing w:before="100" w:beforeAutospacing="1" w:after="330" w:line="270" w:lineRule="atLeast"/>
        <w:rPr>
          <w:rFonts w:ascii="PTSans" w:eastAsia="Times New Roman" w:hAnsi="PTSans" w:cs="Times New Roman"/>
          <w:color w:val="666666"/>
          <w:sz w:val="20"/>
          <w:szCs w:val="20"/>
          <w:lang w:eastAsia="ru-RU"/>
        </w:rPr>
      </w:pPr>
      <w:r w:rsidRPr="006B25EE">
        <w:rPr>
          <w:rFonts w:ascii="PTSansBold" w:eastAsia="Times New Roman" w:hAnsi="PTSansBold" w:cs="Times New Roman"/>
          <w:b/>
          <w:bCs/>
          <w:color w:val="666666"/>
          <w:sz w:val="20"/>
          <w:szCs w:val="20"/>
          <w:lang w:eastAsia="ru-RU"/>
        </w:rPr>
        <w:t>Расходы</w:t>
      </w:r>
      <w:r w:rsidRPr="006B25EE">
        <w:rPr>
          <w:rFonts w:ascii="PTSans" w:eastAsia="Times New Roman" w:hAnsi="PTSans" w:cs="Times New Roman"/>
          <w:color w:val="666666"/>
          <w:sz w:val="20"/>
          <w:szCs w:val="20"/>
          <w:lang w:eastAsia="ru-RU"/>
        </w:rPr>
        <w:t xml:space="preserve"> составили 15,62 трлн руб., или на 1,5%, меньше показателя, установленного сводной бюджетной росписью с изменениями.</w:t>
      </w:r>
    </w:p>
    <w:p w:rsidR="006B25EE" w:rsidRPr="006B25EE" w:rsidRDefault="006B25EE" w:rsidP="006B25EE">
      <w:pPr>
        <w:shd w:val="clear" w:color="auto" w:fill="FFFFFF"/>
        <w:spacing w:before="100" w:beforeAutospacing="1" w:after="330" w:line="270" w:lineRule="atLeast"/>
        <w:rPr>
          <w:rFonts w:ascii="PTSans" w:eastAsia="Times New Roman" w:hAnsi="PTSans" w:cs="Times New Roman"/>
          <w:color w:val="666666"/>
          <w:sz w:val="20"/>
          <w:szCs w:val="20"/>
          <w:lang w:eastAsia="ru-RU"/>
        </w:rPr>
      </w:pPr>
      <w:r w:rsidRPr="006B25EE">
        <w:rPr>
          <w:rFonts w:ascii="PTSans" w:eastAsia="Times New Roman" w:hAnsi="PTSans" w:cs="Times New Roman"/>
          <w:color w:val="666666"/>
          <w:sz w:val="20"/>
          <w:szCs w:val="20"/>
          <w:lang w:eastAsia="ru-RU"/>
        </w:rPr>
        <w:t>На конец 2015 г. неисполненные бюджетные ассигнования, предусмотренные сводной бюджетной росписью с изменениями, имели 82 из 101 главного распорядителя средств федерального бюджета, или 81,2% (в 2014 г. – 87 из 105, или 88,6%). Без учета переходящих остатков в 2015 г. наибольший объем неисполненных показателей составил по Минфину России - 53,6 млрд руб., Росавиации – 2,3 млрд руб., Роскосмосу – 12,8 млрд руб., Минсельхозу России – 10,8 млрд руб., Минпромторгу России – 7,2 млрд руб., Минздраву России – 3 млрд руб.</w:t>
      </w:r>
    </w:p>
    <w:p w:rsidR="006B25EE" w:rsidRPr="006B25EE" w:rsidRDefault="006B25EE" w:rsidP="006B25EE">
      <w:pPr>
        <w:shd w:val="clear" w:color="auto" w:fill="FFFFFF"/>
        <w:spacing w:before="100" w:beforeAutospacing="1" w:after="330" w:line="270" w:lineRule="atLeast"/>
        <w:rPr>
          <w:rFonts w:ascii="PTSans" w:eastAsia="Times New Roman" w:hAnsi="PTSans" w:cs="Times New Roman"/>
          <w:color w:val="666666"/>
          <w:sz w:val="20"/>
          <w:szCs w:val="20"/>
          <w:lang w:eastAsia="ru-RU"/>
        </w:rPr>
      </w:pPr>
      <w:r w:rsidRPr="006B25EE">
        <w:rPr>
          <w:rFonts w:ascii="PTSans" w:eastAsia="Times New Roman" w:hAnsi="PTSans" w:cs="Times New Roman"/>
          <w:color w:val="666666"/>
          <w:sz w:val="20"/>
          <w:szCs w:val="20"/>
          <w:lang w:eastAsia="ru-RU"/>
        </w:rPr>
        <w:t xml:space="preserve">Кассовые расходы в IV квартале 2015 г. составили 30,9% объема расходов, произведенных в целом за год (в 2014 г. – 31,1%), в абсолютном выражении – 4 826 млрд руб. (в 2014 г. – 4 302,6 млрд руб.). В IV квартале 2015 г. более 33,3% годовых расходов исполнено 51 главным распорядителем, в том числе более половины годовых расходов произведено 11 главными распорядителями, по 2 главным распорядителям расходы составили более 70% (Минвостокразвития России – 89,1%, Росимущество – 97%). </w:t>
      </w:r>
    </w:p>
    <w:p w:rsidR="006B25EE" w:rsidRPr="006B25EE" w:rsidRDefault="006B25EE" w:rsidP="006B25EE">
      <w:pPr>
        <w:shd w:val="clear" w:color="auto" w:fill="FFFFFF"/>
        <w:spacing w:before="100" w:beforeAutospacing="1" w:after="330" w:line="270" w:lineRule="atLeast"/>
        <w:rPr>
          <w:rFonts w:ascii="PTSans" w:eastAsia="Times New Roman" w:hAnsi="PTSans" w:cs="Times New Roman"/>
          <w:color w:val="666666"/>
          <w:sz w:val="20"/>
          <w:szCs w:val="20"/>
          <w:lang w:eastAsia="ru-RU"/>
        </w:rPr>
      </w:pPr>
      <w:r w:rsidRPr="006B25EE">
        <w:rPr>
          <w:rFonts w:ascii="PTSansBold" w:eastAsia="Times New Roman" w:hAnsi="PTSansBold" w:cs="Times New Roman"/>
          <w:b/>
          <w:bCs/>
          <w:color w:val="666666"/>
          <w:sz w:val="20"/>
          <w:szCs w:val="20"/>
          <w:lang w:eastAsia="ru-RU"/>
        </w:rPr>
        <w:t>Дебиторская задолженность федерального бюджета по расходам</w:t>
      </w:r>
      <w:r w:rsidRPr="006B25EE">
        <w:rPr>
          <w:rFonts w:ascii="PTSans" w:eastAsia="Times New Roman" w:hAnsi="PTSans" w:cs="Times New Roman"/>
          <w:color w:val="666666"/>
          <w:sz w:val="20"/>
          <w:szCs w:val="20"/>
          <w:lang w:eastAsia="ru-RU"/>
        </w:rPr>
        <w:t xml:space="preserve"> за 2015 год увеличилась на 27% и составила 3,3 трлн руб. За период 2008-2015 гг. дебиторская задолженность по расходам увеличилась в 9,1 раз, а расходы в 2,3 раза. Анализ динамики дебиторской задолженности по выданным авансам за последние 5 лет показывает, что темпы прироста дебиторской задолженности значительно превышают темпы прироста расходов федерального бюджета. Несмотря на предпринимаемые Правительством России действия дебиторская задолженность по выданным авансам по состоянию на 1 июля 2016 г. по сравнению с началом года увеличилась на 0,6 трлн руб., или на 18%. Наибольший объем задолженности образовался у Минобороны России, Госкорпорации «Роскосмос», Минпромторга России, Росавтодора и Минспорта России. За первое полугодие 2016 г. по 46 главным распорядителям бюджетных средств установлено увеличение объема дебиторской задолженности, при этом по Минобороны России и Минпромторгу России дебиторская задолженность увеличилась на 22% и на 15,2%, соответственно.</w:t>
      </w:r>
    </w:p>
    <w:p w:rsidR="006B25EE" w:rsidRPr="006B25EE" w:rsidRDefault="006B25EE" w:rsidP="006B25EE">
      <w:pPr>
        <w:shd w:val="clear" w:color="auto" w:fill="FFFFFF"/>
        <w:spacing w:before="100" w:beforeAutospacing="1" w:after="330" w:line="270" w:lineRule="atLeast"/>
        <w:rPr>
          <w:rFonts w:ascii="PTSans" w:eastAsia="Times New Roman" w:hAnsi="PTSans" w:cs="Times New Roman"/>
          <w:color w:val="666666"/>
          <w:sz w:val="20"/>
          <w:szCs w:val="20"/>
          <w:lang w:eastAsia="ru-RU"/>
        </w:rPr>
      </w:pPr>
      <w:r w:rsidRPr="006B25EE">
        <w:rPr>
          <w:rFonts w:ascii="PTSansBold" w:eastAsia="Times New Roman" w:hAnsi="PTSansBold" w:cs="Times New Roman"/>
          <w:b/>
          <w:bCs/>
          <w:color w:val="666666"/>
          <w:sz w:val="20"/>
          <w:szCs w:val="20"/>
          <w:lang w:eastAsia="ru-RU"/>
        </w:rPr>
        <w:t>Расходы федерального бюджета на реализацию государственных программ</w:t>
      </w:r>
      <w:r w:rsidRPr="006B25EE">
        <w:rPr>
          <w:rFonts w:ascii="PTSans" w:eastAsia="Times New Roman" w:hAnsi="PTSans" w:cs="Times New Roman"/>
          <w:color w:val="666666"/>
          <w:sz w:val="20"/>
          <w:szCs w:val="20"/>
          <w:lang w:eastAsia="ru-RU"/>
        </w:rPr>
        <w:t xml:space="preserve"> Российской Федерации по итогам 2015 г. составили 7,7 трлн руб., или 98,1% показателя сводной бюджетной росписи с изменениями (открытая часть) (по итогам 2014 г. – 99,1 %).</w:t>
      </w:r>
    </w:p>
    <w:p w:rsidR="006B25EE" w:rsidRPr="006B25EE" w:rsidRDefault="006B25EE" w:rsidP="006B25EE">
      <w:pPr>
        <w:shd w:val="clear" w:color="auto" w:fill="FFFFFF"/>
        <w:spacing w:before="100" w:beforeAutospacing="1" w:after="330" w:line="270" w:lineRule="atLeast"/>
        <w:rPr>
          <w:rFonts w:ascii="PTSans" w:eastAsia="Times New Roman" w:hAnsi="PTSans" w:cs="Times New Roman"/>
          <w:color w:val="666666"/>
          <w:sz w:val="20"/>
          <w:szCs w:val="20"/>
          <w:lang w:eastAsia="ru-RU"/>
        </w:rPr>
      </w:pPr>
      <w:r w:rsidRPr="006B25EE">
        <w:rPr>
          <w:rFonts w:ascii="PTSans" w:eastAsia="Times New Roman" w:hAnsi="PTSans" w:cs="Times New Roman"/>
          <w:color w:val="666666"/>
          <w:sz w:val="20"/>
          <w:szCs w:val="20"/>
          <w:lang w:eastAsia="ru-RU"/>
        </w:rPr>
        <w:t>Пояснительная записка к отчету об исполнении федерального бюджета за 2015 г. и Сводный годовой доклад о ходе реализации и оценке эффективности государственных программ Российской Федерации за 2015 г. (далее – Сводный годовой доклад), как и в прошлом году, представляют собой по сути два разрозненных документа об исполнении госпрограмм, которые не дают комплексной и взаимосвязанной оценки достижения приоритетов и целей государственной политики и эффективности использования затраченных финансовых ресурсов.</w:t>
      </w:r>
    </w:p>
    <w:p w:rsidR="006B25EE" w:rsidRPr="006B25EE" w:rsidRDefault="006B25EE" w:rsidP="006B25EE">
      <w:pPr>
        <w:shd w:val="clear" w:color="auto" w:fill="FFFFFF"/>
        <w:spacing w:before="100" w:beforeAutospacing="1" w:after="330" w:line="270" w:lineRule="atLeast"/>
        <w:rPr>
          <w:rFonts w:ascii="PTSans" w:eastAsia="Times New Roman" w:hAnsi="PTSans" w:cs="Times New Roman"/>
          <w:color w:val="666666"/>
          <w:sz w:val="20"/>
          <w:szCs w:val="20"/>
          <w:lang w:eastAsia="ru-RU"/>
        </w:rPr>
      </w:pPr>
      <w:r w:rsidRPr="006B25EE">
        <w:rPr>
          <w:rFonts w:ascii="PTSans" w:eastAsia="Times New Roman" w:hAnsi="PTSans" w:cs="Times New Roman"/>
          <w:color w:val="666666"/>
          <w:sz w:val="20"/>
          <w:szCs w:val="20"/>
          <w:lang w:eastAsia="ru-RU"/>
        </w:rPr>
        <w:t>В Сводном годовом докладе оценка эффективности реализации госпрограмм осуществлена на основе количественных и качественных показателей, которые не приведены в соответствие с бюджетными ассигнованиями по госпрограммам, утвержденными Федеральным законом № 384-ФЗ (с изменениями) в связи с приостановкой действия в 2015 г. соответствующей нормы Бюджетного кодекса Российской Федерации.</w:t>
      </w:r>
    </w:p>
    <w:p w:rsidR="006B25EE" w:rsidRPr="006B25EE" w:rsidRDefault="006B25EE" w:rsidP="006B25EE">
      <w:pPr>
        <w:shd w:val="clear" w:color="auto" w:fill="FFFFFF"/>
        <w:spacing w:before="100" w:beforeAutospacing="1" w:after="330" w:line="270" w:lineRule="atLeast"/>
        <w:rPr>
          <w:rFonts w:ascii="PTSans" w:eastAsia="Times New Roman" w:hAnsi="PTSans" w:cs="Times New Roman"/>
          <w:color w:val="666666"/>
          <w:sz w:val="20"/>
          <w:szCs w:val="20"/>
          <w:lang w:eastAsia="ru-RU"/>
        </w:rPr>
      </w:pPr>
      <w:r w:rsidRPr="006B25EE">
        <w:rPr>
          <w:rFonts w:ascii="PTSans" w:eastAsia="Times New Roman" w:hAnsi="PTSans" w:cs="Times New Roman"/>
          <w:color w:val="666666"/>
          <w:sz w:val="20"/>
          <w:szCs w:val="20"/>
          <w:lang w:eastAsia="ru-RU"/>
        </w:rPr>
        <w:t>По состоянию на 1 января 2016 г. изменения внесены в планы реализации только 24 из 39 утвержденных госпрограмм (61,5%). Отдельные ответственные исполнители не утвердили детальные планы-графики реализации госпрограмм. Степень реализации контрольных событий согласно Сводному годовому докладу составила 82,3%, что на 8,5 процентного пункта ниже уровня реализации контрольных событий за 2014 г.</w:t>
      </w:r>
    </w:p>
    <w:p w:rsidR="006B25EE" w:rsidRPr="006B25EE" w:rsidRDefault="006B25EE" w:rsidP="006B25EE">
      <w:pPr>
        <w:shd w:val="clear" w:color="auto" w:fill="FFFFFF"/>
        <w:spacing w:before="100" w:beforeAutospacing="1" w:after="330" w:line="270" w:lineRule="atLeast"/>
        <w:rPr>
          <w:rFonts w:ascii="PTSans" w:eastAsia="Times New Roman" w:hAnsi="PTSans" w:cs="Times New Roman"/>
          <w:color w:val="666666"/>
          <w:sz w:val="20"/>
          <w:szCs w:val="20"/>
          <w:lang w:eastAsia="ru-RU"/>
        </w:rPr>
      </w:pPr>
      <w:r w:rsidRPr="006B25EE">
        <w:rPr>
          <w:rFonts w:ascii="PTSans" w:eastAsia="Times New Roman" w:hAnsi="PTSans" w:cs="Times New Roman"/>
          <w:color w:val="666666"/>
          <w:sz w:val="20"/>
          <w:szCs w:val="20"/>
          <w:lang w:eastAsia="ru-RU"/>
        </w:rPr>
        <w:t xml:space="preserve">По оценке Минэкономразвития России, из 32 госпрограмм (открытая часть) оценку «высокая эффективность реализации» получили 3 госпрограммы, «эффективность реализации выше среднего уровня» – 16, «эффективность реализации ниже среднего уровня» – 5, «низкая степень эффективности» – 8 госпрограмм. </w:t>
      </w:r>
    </w:p>
    <w:p w:rsidR="006B25EE" w:rsidRPr="006B25EE" w:rsidRDefault="006B25EE" w:rsidP="006B25EE">
      <w:pPr>
        <w:shd w:val="clear" w:color="auto" w:fill="FFFFFF"/>
        <w:spacing w:before="100" w:beforeAutospacing="1" w:after="330" w:line="270" w:lineRule="atLeast"/>
        <w:rPr>
          <w:rFonts w:ascii="PTSans" w:eastAsia="Times New Roman" w:hAnsi="PTSans" w:cs="Times New Roman"/>
          <w:color w:val="666666"/>
          <w:sz w:val="20"/>
          <w:szCs w:val="20"/>
          <w:lang w:eastAsia="ru-RU"/>
        </w:rPr>
      </w:pPr>
      <w:r w:rsidRPr="006B25EE">
        <w:rPr>
          <w:rFonts w:ascii="PTSans" w:eastAsia="Times New Roman" w:hAnsi="PTSans" w:cs="Times New Roman"/>
          <w:color w:val="666666"/>
          <w:sz w:val="20"/>
          <w:szCs w:val="20"/>
          <w:lang w:eastAsia="ru-RU"/>
        </w:rPr>
        <w:t>За 2014 и 2015 гг. количество госпрограмм с высокой оценкой эффективности сокращено с 5 до 3 госпрограмм, с уровнем выше среднего увеличено с 13 до 16 госпрограмм, с уровнем ниже среднего уменьшилось с 14 до 13 госпрограмм.</w:t>
      </w:r>
    </w:p>
    <w:p w:rsidR="006B25EE" w:rsidRPr="006B25EE" w:rsidRDefault="006B25EE" w:rsidP="006B25EE">
      <w:pPr>
        <w:shd w:val="clear" w:color="auto" w:fill="FFFFFF"/>
        <w:spacing w:before="100" w:beforeAutospacing="1" w:after="330" w:line="270" w:lineRule="atLeast"/>
        <w:rPr>
          <w:rFonts w:ascii="PTSans" w:eastAsia="Times New Roman" w:hAnsi="PTSans" w:cs="Times New Roman"/>
          <w:color w:val="666666"/>
          <w:sz w:val="20"/>
          <w:szCs w:val="20"/>
          <w:lang w:eastAsia="ru-RU"/>
        </w:rPr>
      </w:pPr>
      <w:r w:rsidRPr="006B25EE">
        <w:rPr>
          <w:rFonts w:ascii="PTSans" w:eastAsia="Times New Roman" w:hAnsi="PTSans" w:cs="Times New Roman"/>
          <w:color w:val="666666"/>
          <w:sz w:val="20"/>
          <w:szCs w:val="20"/>
          <w:lang w:eastAsia="ru-RU"/>
        </w:rPr>
        <w:t>Общий объем бюджетных ассигнований по госпрограммам, исполненным в 2015 г., по оценке Минэкономразвития России, на уровне ниже среднего и с низкой степенью эффективности, составил 1 606,5 млрд руб., или 18,6% общего объема кассового исполнения расходов по госпрограммам и 10,3% общего объема исполнения расходов.</w:t>
      </w:r>
    </w:p>
    <w:p w:rsidR="006B25EE" w:rsidRPr="006B25EE" w:rsidRDefault="006B25EE" w:rsidP="006B25EE">
      <w:pPr>
        <w:shd w:val="clear" w:color="auto" w:fill="FFFFFF"/>
        <w:spacing w:before="100" w:beforeAutospacing="1" w:after="330" w:line="270" w:lineRule="atLeast"/>
        <w:rPr>
          <w:rFonts w:ascii="PTSans" w:eastAsia="Times New Roman" w:hAnsi="PTSans" w:cs="Times New Roman"/>
          <w:color w:val="666666"/>
          <w:sz w:val="20"/>
          <w:szCs w:val="20"/>
          <w:lang w:eastAsia="ru-RU"/>
        </w:rPr>
      </w:pPr>
      <w:r w:rsidRPr="006B25EE">
        <w:rPr>
          <w:rFonts w:ascii="PTSans" w:eastAsia="Times New Roman" w:hAnsi="PTSans" w:cs="Times New Roman"/>
          <w:color w:val="666666"/>
          <w:sz w:val="20"/>
          <w:szCs w:val="20"/>
          <w:lang w:eastAsia="ru-RU"/>
        </w:rPr>
        <w:t>Анализ результатов оценки Минэкономразвития России эффективности госпрограмм свидетельствует о том, что в 2014-2015 гг. ни по одной из госпрограмм уровень достижения показателей (индикаторов) и уровень реализации основных мероприятий одновременно не составил 100%.</w:t>
      </w:r>
    </w:p>
    <w:p w:rsidR="006B25EE" w:rsidRPr="006B25EE" w:rsidRDefault="006B25EE" w:rsidP="006B25EE">
      <w:pPr>
        <w:shd w:val="clear" w:color="auto" w:fill="FFFFFF"/>
        <w:spacing w:before="100" w:beforeAutospacing="1" w:after="330" w:line="270" w:lineRule="atLeast"/>
        <w:rPr>
          <w:rFonts w:ascii="PTSans" w:eastAsia="Times New Roman" w:hAnsi="PTSans" w:cs="Times New Roman"/>
          <w:color w:val="666666"/>
          <w:sz w:val="20"/>
          <w:szCs w:val="20"/>
          <w:lang w:eastAsia="ru-RU"/>
        </w:rPr>
      </w:pPr>
      <w:r w:rsidRPr="006B25EE">
        <w:rPr>
          <w:rFonts w:ascii="PTSans" w:eastAsia="Times New Roman" w:hAnsi="PTSans" w:cs="Times New Roman"/>
          <w:color w:val="666666"/>
          <w:sz w:val="20"/>
          <w:szCs w:val="20"/>
          <w:lang w:eastAsia="ru-RU"/>
        </w:rPr>
        <w:t>По результатам оценки эффективности реализации госпрограмм Правительством Российской Федерации решения о прекращении дальнейшей реализации госпрограмм или о наложении на ответственных исполнителей, соисполнителей и участников госпрограмм дисциплинарного взыскания в связи с недостижением запланированных результатов реализации госпрограмм, предусмотренных пунктом 3 статьи 179 Бюджетного кодекса Российской Федерации и постановлением Правительства Российской Федерации от 2 августа 2010 г. № 588 не принимались.</w:t>
      </w:r>
    </w:p>
    <w:p w:rsidR="006B25EE" w:rsidRPr="006B25EE" w:rsidRDefault="006B25EE" w:rsidP="006B25EE">
      <w:pPr>
        <w:shd w:val="clear" w:color="auto" w:fill="FFFFFF"/>
        <w:spacing w:before="100" w:beforeAutospacing="1" w:after="330" w:line="270" w:lineRule="atLeast"/>
        <w:rPr>
          <w:rFonts w:ascii="PTSans" w:eastAsia="Times New Roman" w:hAnsi="PTSans" w:cs="Times New Roman"/>
          <w:color w:val="666666"/>
          <w:sz w:val="20"/>
          <w:szCs w:val="20"/>
          <w:lang w:eastAsia="ru-RU"/>
        </w:rPr>
      </w:pPr>
      <w:r w:rsidRPr="006B25EE">
        <w:rPr>
          <w:rFonts w:ascii="PTSans" w:eastAsia="Times New Roman" w:hAnsi="PTSans" w:cs="Times New Roman"/>
          <w:color w:val="666666"/>
          <w:sz w:val="20"/>
          <w:szCs w:val="20"/>
          <w:lang w:eastAsia="ru-RU"/>
        </w:rPr>
        <w:t>Предлагаемая Минэкономразвития России методика оценки эффективности госпрограмм не учитывает ряд важных показателей, характеризующих эффективность использования бюджетных средств. Имеются также серьезные недостатки в части подходов к оценке показателей, по которым отсутствуют фактические значения.</w:t>
      </w:r>
    </w:p>
    <w:p w:rsidR="006B25EE" w:rsidRPr="006B25EE" w:rsidRDefault="006B25EE" w:rsidP="006B25EE">
      <w:pPr>
        <w:shd w:val="clear" w:color="auto" w:fill="FFFFFF"/>
        <w:spacing w:before="100" w:beforeAutospacing="1" w:after="330" w:line="270" w:lineRule="atLeast"/>
        <w:rPr>
          <w:rFonts w:ascii="PTSans" w:eastAsia="Times New Roman" w:hAnsi="PTSans" w:cs="Times New Roman"/>
          <w:color w:val="666666"/>
          <w:sz w:val="20"/>
          <w:szCs w:val="20"/>
          <w:lang w:eastAsia="ru-RU"/>
        </w:rPr>
      </w:pPr>
      <w:r w:rsidRPr="006B25EE">
        <w:rPr>
          <w:rFonts w:ascii="PTSans" w:eastAsia="Times New Roman" w:hAnsi="PTSans" w:cs="Times New Roman"/>
          <w:color w:val="666666"/>
          <w:sz w:val="20"/>
          <w:szCs w:val="20"/>
          <w:lang w:eastAsia="ru-RU"/>
        </w:rPr>
        <w:t>Счетной палатой в отличие от Минэкономразвития России при оценке эффективности реализации госпрограмм учитывались также прирост дебиторской задолженности по расчетам по авансовым платежам, уровень ввода объектов капитального строительства. По оценке Счетной палаты установлен средний уровень эффективности по 13 госпрограммам (4 272,3 млрд руб., или 49,7% общего объема бюджетных ассигнований на реализацию госпрограмм), низкий уровень эффективности – по 7 госпрограммам (1 238,2 млрд руб., или 14,4%). Не подлежали оценке 18 госпрограмм (3 081,1 млрд руб., или 35,9%), у которых доля показателей, не имевших фактического значения, в общем объеме показателей превышает 10%.</w:t>
      </w:r>
    </w:p>
    <w:p w:rsidR="006B25EE" w:rsidRPr="006B25EE" w:rsidRDefault="006B25EE" w:rsidP="006B25EE">
      <w:pPr>
        <w:shd w:val="clear" w:color="auto" w:fill="FFFFFF"/>
        <w:spacing w:before="100" w:beforeAutospacing="1" w:after="330" w:line="270" w:lineRule="atLeast"/>
        <w:rPr>
          <w:rFonts w:ascii="PTSans" w:eastAsia="Times New Roman" w:hAnsi="PTSans" w:cs="Times New Roman"/>
          <w:color w:val="666666"/>
          <w:sz w:val="20"/>
          <w:szCs w:val="20"/>
          <w:lang w:eastAsia="ru-RU"/>
        </w:rPr>
      </w:pPr>
      <w:r w:rsidRPr="006B25EE">
        <w:rPr>
          <w:rFonts w:ascii="PTSans" w:eastAsia="Times New Roman" w:hAnsi="PTSans" w:cs="Times New Roman"/>
          <w:color w:val="666666"/>
          <w:sz w:val="20"/>
          <w:szCs w:val="20"/>
          <w:lang w:eastAsia="ru-RU"/>
        </w:rPr>
        <w:t>Оценки эффективности реализации госпрограмм, проведенные Счетной палатой, существенно отличаются от оценок Минэкономразвития России. Так, из 3 госпрограмм («Обеспечение общественного порядка и противодействие преступности», «Развитие образования» на 2013-2020 годы», «Управление федеральным имуществом»), степень эффективности реализации которых оценена Минэкономразвития России на высоком уровне, госпрограмма «Развитие образования» на 2013-2020 годы», по мнению Счетной палаты, не подлежит оценке эффективности.</w:t>
      </w:r>
    </w:p>
    <w:p w:rsidR="006B25EE" w:rsidRPr="006B25EE" w:rsidRDefault="006B25EE" w:rsidP="006B25EE">
      <w:pPr>
        <w:shd w:val="clear" w:color="auto" w:fill="FFFFFF"/>
        <w:spacing w:before="100" w:beforeAutospacing="1" w:after="330" w:line="270" w:lineRule="atLeast"/>
        <w:rPr>
          <w:rFonts w:ascii="PTSans" w:eastAsia="Times New Roman" w:hAnsi="PTSans" w:cs="Times New Roman"/>
          <w:color w:val="666666"/>
          <w:sz w:val="20"/>
          <w:szCs w:val="20"/>
          <w:lang w:eastAsia="ru-RU"/>
        </w:rPr>
      </w:pPr>
      <w:r w:rsidRPr="006B25EE">
        <w:rPr>
          <w:rFonts w:ascii="PTSansBold" w:eastAsia="Times New Roman" w:hAnsi="PTSansBold" w:cs="Times New Roman"/>
          <w:b/>
          <w:bCs/>
          <w:color w:val="666666"/>
          <w:sz w:val="20"/>
          <w:szCs w:val="20"/>
          <w:lang w:eastAsia="ru-RU"/>
        </w:rPr>
        <w:t xml:space="preserve">Расходы федерального бюджета на реализацию ФАИП </w:t>
      </w:r>
      <w:r w:rsidRPr="006B25EE">
        <w:rPr>
          <w:rFonts w:ascii="PTSans" w:eastAsia="Times New Roman" w:hAnsi="PTSans" w:cs="Times New Roman"/>
          <w:color w:val="666666"/>
          <w:sz w:val="20"/>
          <w:szCs w:val="20"/>
          <w:lang w:eastAsia="ru-RU"/>
        </w:rPr>
        <w:t>исполнены на сумму 857 млрд руб., или 93,3% предусмотренного объема бюджетных ассигнований (уровень исполнения на 0,5 проц. пункта ниже, чем в 2014 г.). Ниже 50% исполнены расходы на ФАИП по следующим главным распорядителям: ФСПП - 15,2%, Росздравнадзор – 15,8%, Минюст – 24,5%, Ространснадзор - 25%. По оценке Счетной палаты, в течение 2015 г. из общего количества включенных в ФАИП позиций (около 2 тыс.) изменения затронули более 1,6 тыс. позиций, или 80,5% общего количества. При этом суммарный объем бюджетных ассигнований ФАИП был сокращен за 2015 г. на 166,5 млрд руб., или 15,3%.</w:t>
      </w:r>
    </w:p>
    <w:p w:rsidR="006B25EE" w:rsidRPr="006B25EE" w:rsidRDefault="006B25EE" w:rsidP="006B25EE">
      <w:pPr>
        <w:shd w:val="clear" w:color="auto" w:fill="FFFFFF"/>
        <w:spacing w:before="100" w:beforeAutospacing="1" w:after="330" w:line="270" w:lineRule="atLeast"/>
        <w:rPr>
          <w:rFonts w:ascii="PTSans" w:eastAsia="Times New Roman" w:hAnsi="PTSans" w:cs="Times New Roman"/>
          <w:color w:val="666666"/>
          <w:sz w:val="20"/>
          <w:szCs w:val="20"/>
          <w:lang w:eastAsia="ru-RU"/>
        </w:rPr>
      </w:pPr>
      <w:r w:rsidRPr="006B25EE">
        <w:rPr>
          <w:rFonts w:ascii="PTSans" w:eastAsia="Times New Roman" w:hAnsi="PTSans" w:cs="Times New Roman"/>
          <w:color w:val="666666"/>
          <w:sz w:val="20"/>
          <w:szCs w:val="20"/>
          <w:lang w:eastAsia="ru-RU"/>
        </w:rPr>
        <w:t>Неоднократные корректировки ФАИП привели к существенному снижению количества объектов, подлежавших вводу в эксплуатацию в 2015 г.: с 977 до 577 объектов, или на 400 объектов (41%). 168 объектов со сроком ввода в эксплуатацию в 2015 г. были исключены из ФАИП, по 232 сроки ввода в эксплуатацию (разработки проектной документации, приобретения) перенесены на более поздние.</w:t>
      </w:r>
    </w:p>
    <w:p w:rsidR="006B25EE" w:rsidRPr="006B25EE" w:rsidRDefault="006B25EE" w:rsidP="006B25EE">
      <w:pPr>
        <w:shd w:val="clear" w:color="auto" w:fill="FFFFFF"/>
        <w:spacing w:before="100" w:beforeAutospacing="1" w:after="330" w:line="270" w:lineRule="atLeast"/>
        <w:rPr>
          <w:rFonts w:ascii="PTSans" w:eastAsia="Times New Roman" w:hAnsi="PTSans" w:cs="Times New Roman"/>
          <w:color w:val="666666"/>
          <w:sz w:val="20"/>
          <w:szCs w:val="20"/>
          <w:lang w:eastAsia="ru-RU"/>
        </w:rPr>
      </w:pPr>
      <w:r w:rsidRPr="006B25EE">
        <w:rPr>
          <w:rFonts w:ascii="PTSans" w:eastAsia="Times New Roman" w:hAnsi="PTSans" w:cs="Times New Roman"/>
          <w:color w:val="666666"/>
          <w:sz w:val="20"/>
          <w:szCs w:val="20"/>
          <w:lang w:eastAsia="ru-RU"/>
        </w:rPr>
        <w:t>В целом из 557 строек и объектов, предусмотренных к вводу в 2015 г., не введено 276 объектов, или 49,5% (в 2014 г. – 52,7%), из них 45 объектов завершены строительством. В результате в 2015 г. произошло значительное увеличение объемов незавершенного строительства у ряда главных распорядителей средств федерального бюджета.</w:t>
      </w:r>
    </w:p>
    <w:p w:rsidR="006B25EE" w:rsidRPr="006B25EE" w:rsidRDefault="006B25EE" w:rsidP="006B25EE">
      <w:pPr>
        <w:shd w:val="clear" w:color="auto" w:fill="FFFFFF"/>
        <w:spacing w:before="100" w:beforeAutospacing="1" w:after="330" w:line="270" w:lineRule="atLeast"/>
        <w:rPr>
          <w:rFonts w:ascii="PTSans" w:eastAsia="Times New Roman" w:hAnsi="PTSans" w:cs="Times New Roman"/>
          <w:color w:val="666666"/>
          <w:sz w:val="20"/>
          <w:szCs w:val="20"/>
          <w:lang w:eastAsia="ru-RU"/>
        </w:rPr>
      </w:pPr>
      <w:r w:rsidRPr="006B25EE">
        <w:rPr>
          <w:rFonts w:ascii="PTSans" w:eastAsia="Times New Roman" w:hAnsi="PTSans" w:cs="Times New Roman"/>
          <w:color w:val="666666"/>
          <w:sz w:val="20"/>
          <w:szCs w:val="20"/>
          <w:lang w:eastAsia="ru-RU"/>
        </w:rPr>
        <w:t xml:space="preserve">По информации Правительства России, по состоянию на 1 января 2016 г. общий объем незавершенного строительства 2,2 трлн руб. Количество объектов незавершенного строительства по 64 главным распорядителям средств федерального бюджета составило 10,7 тыс. объектов. </w:t>
      </w:r>
    </w:p>
    <w:p w:rsidR="006B25EE" w:rsidRPr="006B25EE" w:rsidRDefault="006B25EE" w:rsidP="006B25EE">
      <w:pPr>
        <w:shd w:val="clear" w:color="auto" w:fill="FFFFFF"/>
        <w:spacing w:before="100" w:beforeAutospacing="1" w:after="330" w:line="270" w:lineRule="atLeast"/>
        <w:rPr>
          <w:rFonts w:ascii="PTSans" w:eastAsia="Times New Roman" w:hAnsi="PTSans" w:cs="Times New Roman"/>
          <w:color w:val="666666"/>
          <w:sz w:val="20"/>
          <w:szCs w:val="20"/>
          <w:lang w:eastAsia="ru-RU"/>
        </w:rPr>
      </w:pPr>
      <w:r w:rsidRPr="006B25EE">
        <w:rPr>
          <w:rFonts w:ascii="PTSans" w:eastAsia="Times New Roman" w:hAnsi="PTSans" w:cs="Times New Roman"/>
          <w:color w:val="666666"/>
          <w:sz w:val="20"/>
          <w:szCs w:val="20"/>
          <w:lang w:eastAsia="ru-RU"/>
        </w:rPr>
        <w:t xml:space="preserve">Объем бюджетных ассигнований, направленных в 2015 г. на осуществление </w:t>
      </w:r>
      <w:r w:rsidRPr="006B25EE">
        <w:rPr>
          <w:rFonts w:ascii="PTSansBold" w:eastAsia="Times New Roman" w:hAnsi="PTSansBold" w:cs="Times New Roman"/>
          <w:b/>
          <w:bCs/>
          <w:color w:val="666666"/>
          <w:sz w:val="20"/>
          <w:szCs w:val="20"/>
          <w:lang w:eastAsia="ru-RU"/>
        </w:rPr>
        <w:t>100 взносов в уставные капиталы 85 открытых акционерных обществ</w:t>
      </w:r>
      <w:r w:rsidRPr="006B25EE">
        <w:rPr>
          <w:rFonts w:ascii="PTSans" w:eastAsia="Times New Roman" w:hAnsi="PTSans" w:cs="Times New Roman"/>
          <w:color w:val="666666"/>
          <w:sz w:val="20"/>
          <w:szCs w:val="20"/>
          <w:lang w:eastAsia="ru-RU"/>
        </w:rPr>
        <w:t xml:space="preserve">, составил 284,5 млрд руб., что в 1,9 раза больше, чем в 2014 г. (152,6 млрд руб.), на предоставление субсидий в виде </w:t>
      </w:r>
      <w:r w:rsidRPr="006B25EE">
        <w:rPr>
          <w:rFonts w:ascii="PTSansBold" w:eastAsia="Times New Roman" w:hAnsi="PTSansBold" w:cs="Times New Roman"/>
          <w:b/>
          <w:bCs/>
          <w:color w:val="666666"/>
          <w:sz w:val="20"/>
          <w:szCs w:val="20"/>
          <w:lang w:eastAsia="ru-RU"/>
        </w:rPr>
        <w:t>12 имущественных взносов Российской Федерации в государственные корпорации</w:t>
      </w:r>
      <w:r w:rsidRPr="006B25EE">
        <w:rPr>
          <w:rFonts w:ascii="PTSans" w:eastAsia="Times New Roman" w:hAnsi="PTSans" w:cs="Times New Roman"/>
          <w:color w:val="666666"/>
          <w:sz w:val="20"/>
          <w:szCs w:val="20"/>
          <w:lang w:eastAsia="ru-RU"/>
        </w:rPr>
        <w:t xml:space="preserve"> и государственную компанию - 233,4 млрд руб. Кассовое исполнение указанных расходов федерального бюджета составило практически 100% по всем главным распорядителям.</w:t>
      </w:r>
    </w:p>
    <w:p w:rsidR="006B25EE" w:rsidRPr="006B25EE" w:rsidRDefault="006B25EE" w:rsidP="006B25EE">
      <w:pPr>
        <w:shd w:val="clear" w:color="auto" w:fill="FFFFFF"/>
        <w:spacing w:before="100" w:beforeAutospacing="1" w:after="330" w:line="270" w:lineRule="atLeast"/>
        <w:rPr>
          <w:rFonts w:ascii="PTSans" w:eastAsia="Times New Roman" w:hAnsi="PTSans" w:cs="Times New Roman"/>
          <w:color w:val="666666"/>
          <w:sz w:val="20"/>
          <w:szCs w:val="20"/>
          <w:lang w:eastAsia="ru-RU"/>
        </w:rPr>
      </w:pPr>
      <w:r w:rsidRPr="006B25EE">
        <w:rPr>
          <w:rFonts w:ascii="PTSans" w:eastAsia="Times New Roman" w:hAnsi="PTSans" w:cs="Times New Roman"/>
          <w:color w:val="666666"/>
          <w:sz w:val="20"/>
          <w:szCs w:val="20"/>
          <w:lang w:eastAsia="ru-RU"/>
        </w:rPr>
        <w:t xml:space="preserve">Результаты проведенных Счетной палатой контрольных и экспертно-аналитических мероприятий свидетельствуют о наличии нарушений и недостатков, приводящих к низкой эффективности использования бюджетных инвестиций акционерным обществам и государственным корпорациям (компаниям). </w:t>
      </w:r>
    </w:p>
    <w:p w:rsidR="006B25EE" w:rsidRPr="006B25EE" w:rsidRDefault="006B25EE" w:rsidP="006B25EE">
      <w:pPr>
        <w:shd w:val="clear" w:color="auto" w:fill="FFFFFF"/>
        <w:spacing w:before="100" w:beforeAutospacing="1" w:after="330" w:line="270" w:lineRule="atLeast"/>
        <w:rPr>
          <w:rFonts w:ascii="PTSans" w:eastAsia="Times New Roman" w:hAnsi="PTSans" w:cs="Times New Roman"/>
          <w:color w:val="666666"/>
          <w:sz w:val="20"/>
          <w:szCs w:val="20"/>
          <w:lang w:eastAsia="ru-RU"/>
        </w:rPr>
      </w:pPr>
      <w:r w:rsidRPr="006B25EE">
        <w:rPr>
          <w:rFonts w:ascii="PTSans" w:eastAsia="Times New Roman" w:hAnsi="PTSans" w:cs="Times New Roman"/>
          <w:color w:val="666666"/>
          <w:sz w:val="20"/>
          <w:szCs w:val="20"/>
          <w:lang w:eastAsia="ru-RU"/>
        </w:rPr>
        <w:t>В 2015 г. с нарушением срока, установленного частью 3 статьи 80 Бюджетного кодекса Российской Федерации, Минпромторгом России заключены 56 договоров об участии Российской Федерации в собственности субъекта инвестиций на сумму 12 млрд руб., Роскосмосом – 19 договоров на сумму 3,5 млрд руб.</w:t>
      </w:r>
    </w:p>
    <w:p w:rsidR="006B25EE" w:rsidRPr="006B25EE" w:rsidRDefault="006B25EE" w:rsidP="006B25EE">
      <w:pPr>
        <w:shd w:val="clear" w:color="auto" w:fill="FFFFFF"/>
        <w:spacing w:before="100" w:beforeAutospacing="1" w:after="330" w:line="270" w:lineRule="atLeast"/>
        <w:rPr>
          <w:rFonts w:ascii="PTSans" w:eastAsia="Times New Roman" w:hAnsi="PTSans" w:cs="Times New Roman"/>
          <w:color w:val="666666"/>
          <w:sz w:val="20"/>
          <w:szCs w:val="20"/>
          <w:lang w:eastAsia="ru-RU"/>
        </w:rPr>
      </w:pPr>
      <w:r w:rsidRPr="006B25EE">
        <w:rPr>
          <w:rFonts w:ascii="PTSans" w:eastAsia="Times New Roman" w:hAnsi="PTSans" w:cs="Times New Roman"/>
          <w:color w:val="666666"/>
          <w:sz w:val="20"/>
          <w:szCs w:val="20"/>
          <w:lang w:eastAsia="ru-RU"/>
        </w:rPr>
        <w:t>При планировании взносов в уставные капиталы юридических лиц и имущественных взносов государственным корпорациям (государственной компании) главные распорядители средств федерального бюджета не всегда учитывают степень готовности к реализации проектов и мероприятий, по которым предусматривается выделение бюджетных ассигнований, остатки неиспользованных средств, ранее предоставленных из федерального бюджета на аналогичные цели, а также реальную потребность в них получателей и возможности их освоения.</w:t>
      </w:r>
    </w:p>
    <w:p w:rsidR="006B25EE" w:rsidRPr="006B25EE" w:rsidRDefault="006B25EE" w:rsidP="006B25EE">
      <w:pPr>
        <w:shd w:val="clear" w:color="auto" w:fill="FFFFFF"/>
        <w:spacing w:before="100" w:beforeAutospacing="1" w:after="330" w:line="270" w:lineRule="atLeast"/>
        <w:rPr>
          <w:rFonts w:ascii="PTSans" w:eastAsia="Times New Roman" w:hAnsi="PTSans" w:cs="Times New Roman"/>
          <w:color w:val="666666"/>
          <w:sz w:val="20"/>
          <w:szCs w:val="20"/>
          <w:lang w:eastAsia="ru-RU"/>
        </w:rPr>
      </w:pPr>
      <w:r w:rsidRPr="006B25EE">
        <w:rPr>
          <w:rFonts w:ascii="PTSans" w:eastAsia="Times New Roman" w:hAnsi="PTSans" w:cs="Times New Roman"/>
          <w:color w:val="666666"/>
          <w:sz w:val="20"/>
          <w:szCs w:val="20"/>
          <w:lang w:eastAsia="ru-RU"/>
        </w:rPr>
        <w:t xml:space="preserve">По состоянию на 1 января 2015 г. временно свободные средства по государственным корпорациям «Ростех» и «Росатом», Фонду реформирования ЖКХ и государственной компании «Автодор» составили более 70 млрд руб. Общая сумма перечисленных им в 2015 г. имущественных взносов составила 217,3 млрд руб. При этом по состоянию на 1 января 2016 г. объем временно свободных средств увеличился в 2 раза и составил более 130 млрд руб. </w:t>
      </w:r>
    </w:p>
    <w:p w:rsidR="006B25EE" w:rsidRPr="006B25EE" w:rsidRDefault="006B25EE" w:rsidP="006B25EE">
      <w:pPr>
        <w:shd w:val="clear" w:color="auto" w:fill="FFFFFF"/>
        <w:spacing w:before="100" w:beforeAutospacing="1" w:after="330" w:line="270" w:lineRule="atLeast"/>
        <w:rPr>
          <w:rFonts w:ascii="PTSans" w:eastAsia="Times New Roman" w:hAnsi="PTSans" w:cs="Times New Roman"/>
          <w:color w:val="666666"/>
          <w:sz w:val="20"/>
          <w:szCs w:val="20"/>
          <w:lang w:eastAsia="ru-RU"/>
        </w:rPr>
      </w:pPr>
      <w:r w:rsidRPr="006B25EE">
        <w:rPr>
          <w:rFonts w:ascii="PTSans" w:eastAsia="Times New Roman" w:hAnsi="PTSans" w:cs="Times New Roman"/>
          <w:color w:val="666666"/>
          <w:sz w:val="20"/>
          <w:szCs w:val="20"/>
          <w:lang w:eastAsia="ru-RU"/>
        </w:rPr>
        <w:t>Значительная доля временно свободных средств перечисленных организаций размещена на счетах или в депозитах российских кредитных организаций и Банка России. Так, по итогам 2015 г. доход от размещения временно свободных средств в кредитных организациях по указанным государственным корпорациям и государственной компании превысил 10 млрд руб., увеличившись по сравнению с 2014 г. в 2 раза.</w:t>
      </w:r>
    </w:p>
    <w:p w:rsidR="006B25EE" w:rsidRPr="006B25EE" w:rsidRDefault="006B25EE" w:rsidP="006B25EE">
      <w:pPr>
        <w:shd w:val="clear" w:color="auto" w:fill="FFFFFF"/>
        <w:spacing w:before="100" w:beforeAutospacing="1" w:after="330" w:line="270" w:lineRule="atLeast"/>
        <w:rPr>
          <w:rFonts w:ascii="PTSans" w:eastAsia="Times New Roman" w:hAnsi="PTSans" w:cs="Times New Roman"/>
          <w:color w:val="666666"/>
          <w:sz w:val="20"/>
          <w:szCs w:val="20"/>
          <w:lang w:eastAsia="ru-RU"/>
        </w:rPr>
      </w:pPr>
      <w:r w:rsidRPr="006B25EE">
        <w:rPr>
          <w:rFonts w:ascii="PTSansBold" w:eastAsia="Times New Roman" w:hAnsi="PTSansBold" w:cs="Times New Roman"/>
          <w:b/>
          <w:bCs/>
          <w:color w:val="666666"/>
          <w:sz w:val="20"/>
          <w:szCs w:val="20"/>
          <w:lang w:eastAsia="ru-RU"/>
        </w:rPr>
        <w:t>Расходы на информатизацию государственных органов</w:t>
      </w:r>
      <w:r w:rsidRPr="006B25EE">
        <w:rPr>
          <w:rFonts w:ascii="PTSans" w:eastAsia="Times New Roman" w:hAnsi="PTSans" w:cs="Times New Roman"/>
          <w:color w:val="666666"/>
          <w:sz w:val="20"/>
          <w:szCs w:val="20"/>
          <w:lang w:eastAsia="ru-RU"/>
        </w:rPr>
        <w:t xml:space="preserve"> в нарушение постановления Правительства Российской Федерации от 24 мая 2010 г. № 365 «О координации мероприятий по использованию информационно-коммуникационных технологий в деятельности государственных органов» осуществлялись зачастую при отсутствии утвержденных планов информатизации. Общий объем расходов на информатизацию федеральных государственных органов, осуществленных в 2015 г. при отсутствии утвержденных планов информатизации, составил, по оценке Счетной палаты, порядка 25 млрд руб.</w:t>
      </w:r>
    </w:p>
    <w:p w:rsidR="006B25EE" w:rsidRPr="006B25EE" w:rsidRDefault="006B25EE" w:rsidP="006B25EE">
      <w:pPr>
        <w:shd w:val="clear" w:color="auto" w:fill="FFFFFF"/>
        <w:spacing w:before="100" w:beforeAutospacing="1" w:after="330" w:line="270" w:lineRule="atLeast"/>
        <w:rPr>
          <w:rFonts w:ascii="PTSans" w:eastAsia="Times New Roman" w:hAnsi="PTSans" w:cs="Times New Roman"/>
          <w:color w:val="666666"/>
          <w:sz w:val="20"/>
          <w:szCs w:val="20"/>
          <w:lang w:eastAsia="ru-RU"/>
        </w:rPr>
      </w:pPr>
      <w:r w:rsidRPr="006B25EE">
        <w:rPr>
          <w:rFonts w:ascii="PTSansBold" w:eastAsia="Times New Roman" w:hAnsi="PTSansBold" w:cs="Times New Roman"/>
          <w:b/>
          <w:bCs/>
          <w:color w:val="666666"/>
          <w:sz w:val="20"/>
          <w:szCs w:val="20"/>
          <w:lang w:eastAsia="ru-RU"/>
        </w:rPr>
        <w:t>Контрактуемые расходы</w:t>
      </w:r>
      <w:r w:rsidRPr="006B25EE">
        <w:rPr>
          <w:rFonts w:ascii="PTSans" w:eastAsia="Times New Roman" w:hAnsi="PTSans" w:cs="Times New Roman"/>
          <w:color w:val="666666"/>
          <w:sz w:val="20"/>
          <w:szCs w:val="20"/>
          <w:lang w:eastAsia="ru-RU"/>
        </w:rPr>
        <w:t xml:space="preserve"> в 2015 г. составили 32,2% общего объема расходов федерального бюджета. Исполнение составило 5,02 трлн руб., или 98,8% доведенных ЛБО. Наиболее низкий уровень исполнения установлен по Росгидромету – 56,5%, Росслесхозу – 60,6%, Минфину России – 66,3%, Росфиннадзору – 66,8%, Росавиации – 68,2%.</w:t>
      </w:r>
    </w:p>
    <w:p w:rsidR="006B25EE" w:rsidRPr="006B25EE" w:rsidRDefault="006B25EE" w:rsidP="006B25EE">
      <w:pPr>
        <w:shd w:val="clear" w:color="auto" w:fill="FFFFFF"/>
        <w:spacing w:before="100" w:beforeAutospacing="1" w:after="330" w:line="270" w:lineRule="atLeast"/>
        <w:rPr>
          <w:rFonts w:ascii="PTSans" w:eastAsia="Times New Roman" w:hAnsi="PTSans" w:cs="Times New Roman"/>
          <w:color w:val="666666"/>
          <w:sz w:val="20"/>
          <w:szCs w:val="20"/>
          <w:lang w:eastAsia="ru-RU"/>
        </w:rPr>
      </w:pPr>
      <w:r w:rsidRPr="006B25EE">
        <w:rPr>
          <w:rFonts w:ascii="PTSans" w:eastAsia="Times New Roman" w:hAnsi="PTSans" w:cs="Times New Roman"/>
          <w:color w:val="666666"/>
          <w:sz w:val="20"/>
          <w:szCs w:val="20"/>
          <w:lang w:eastAsia="ru-RU"/>
        </w:rPr>
        <w:t>По результатам проверки исполнения федерального бюджета за 2015 г. Счетной палатой выявлено 844 факта нарушений в сфере государственных закупок в 79 главных распорядителях бюджетных средств и 25 подведомственных учреждениях (территориальных органах, организациях), из них процедурного характера – 697 фактов нарушений (82,6%), финансового характера – 147 фактов нарушений (17,4%) на сумму 21 081,3 млн руб.</w:t>
      </w:r>
    </w:p>
    <w:p w:rsidR="006B25EE" w:rsidRPr="006B25EE" w:rsidRDefault="006B25EE" w:rsidP="006B25EE">
      <w:pPr>
        <w:shd w:val="clear" w:color="auto" w:fill="FFFFFF"/>
        <w:spacing w:before="100" w:beforeAutospacing="1" w:after="330" w:line="270" w:lineRule="atLeast"/>
        <w:rPr>
          <w:rFonts w:ascii="PTSans" w:eastAsia="Times New Roman" w:hAnsi="PTSans" w:cs="Times New Roman"/>
          <w:color w:val="666666"/>
          <w:sz w:val="20"/>
          <w:szCs w:val="20"/>
          <w:lang w:eastAsia="ru-RU"/>
        </w:rPr>
      </w:pPr>
      <w:r w:rsidRPr="006B25EE">
        <w:rPr>
          <w:rFonts w:ascii="PTSans" w:eastAsia="Times New Roman" w:hAnsi="PTSans" w:cs="Times New Roman"/>
          <w:color w:val="666666"/>
          <w:sz w:val="20"/>
          <w:szCs w:val="20"/>
          <w:lang w:eastAsia="ru-RU"/>
        </w:rPr>
        <w:t>Анализ динамики выявленных нарушений в сфере государственных закупок свидетельствует о снижении как количества, так и объема выявленных нарушений относительно аналогичных показателей за 2014 г. Так, по открытой части федерального бюджета общее количество и объем выявленных нарушений снизились по сравнению с предыдущим годом на 19% и 38,4%, соответственно.</w:t>
      </w:r>
    </w:p>
    <w:p w:rsidR="006B25EE" w:rsidRPr="006B25EE" w:rsidRDefault="006B25EE" w:rsidP="006B25EE">
      <w:pPr>
        <w:shd w:val="clear" w:color="auto" w:fill="FFFFFF"/>
        <w:spacing w:before="100" w:beforeAutospacing="1" w:after="330" w:line="270" w:lineRule="atLeast"/>
        <w:rPr>
          <w:rFonts w:ascii="PTSans" w:eastAsia="Times New Roman" w:hAnsi="PTSans" w:cs="Times New Roman"/>
          <w:color w:val="666666"/>
          <w:sz w:val="20"/>
          <w:szCs w:val="20"/>
          <w:lang w:eastAsia="ru-RU"/>
        </w:rPr>
      </w:pPr>
      <w:r w:rsidRPr="006B25EE">
        <w:rPr>
          <w:rFonts w:ascii="PTSans" w:eastAsia="Times New Roman" w:hAnsi="PTSans" w:cs="Times New Roman"/>
          <w:color w:val="666666"/>
          <w:sz w:val="20"/>
          <w:szCs w:val="20"/>
          <w:lang w:eastAsia="ru-RU"/>
        </w:rPr>
        <w:t>Вместе с тем необходимо отметить увеличение в 2015 г. по сравнению с предыдущим годом количества главных распорядителей и подведомственных учреждений (территориальных органов, организаций), в деятельности которых выявлены факты нарушений в сфере закупок (на 20,9%), а также доли нарушений финансового характера в общей структуре выявленных нарушений в сфере закупок (увеличение с 15,2% до 17,4%</w:t>
      </w:r>
    </w:p>
    <w:p w:rsidR="006B25EE" w:rsidRPr="006B25EE" w:rsidRDefault="006B25EE" w:rsidP="006B25EE">
      <w:pPr>
        <w:shd w:val="clear" w:color="auto" w:fill="FFFFFF"/>
        <w:spacing w:before="100" w:beforeAutospacing="1" w:after="330" w:line="270" w:lineRule="atLeast"/>
        <w:rPr>
          <w:rFonts w:ascii="PTSans" w:eastAsia="Times New Roman" w:hAnsi="PTSans" w:cs="Times New Roman"/>
          <w:color w:val="666666"/>
          <w:sz w:val="20"/>
          <w:szCs w:val="20"/>
          <w:lang w:eastAsia="ru-RU"/>
        </w:rPr>
      </w:pPr>
      <w:r w:rsidRPr="006B25EE">
        <w:rPr>
          <w:rFonts w:ascii="PTSans" w:eastAsia="Times New Roman" w:hAnsi="PTSans" w:cs="Times New Roman"/>
          <w:color w:val="666666"/>
          <w:sz w:val="20"/>
          <w:szCs w:val="20"/>
          <w:lang w:eastAsia="ru-RU"/>
        </w:rPr>
        <w:t>Наибольший стоимостной объем фактов нарушений выявлен в Росавтодоре (1,48 млрд руб.), Росгранице (884,6 млн руб.), Минстрое России (731,5 млн руб.), Роскосмосе (Ликвидационная комиссия Роскосмоса) (147 млн руб.), ФСИН России (122,8 млн руб.).</w:t>
      </w:r>
    </w:p>
    <w:p w:rsidR="006B25EE" w:rsidRPr="006B25EE" w:rsidRDefault="006B25EE" w:rsidP="006B25EE">
      <w:pPr>
        <w:shd w:val="clear" w:color="auto" w:fill="FFFFFF"/>
        <w:spacing w:before="100" w:beforeAutospacing="1" w:after="330" w:line="270" w:lineRule="atLeast"/>
        <w:rPr>
          <w:rFonts w:ascii="PTSans" w:eastAsia="Times New Roman" w:hAnsi="PTSans" w:cs="Times New Roman"/>
          <w:color w:val="666666"/>
          <w:sz w:val="20"/>
          <w:szCs w:val="20"/>
          <w:lang w:eastAsia="ru-RU"/>
        </w:rPr>
      </w:pPr>
      <w:r w:rsidRPr="006B25EE">
        <w:rPr>
          <w:rFonts w:ascii="PTSans" w:eastAsia="Times New Roman" w:hAnsi="PTSans" w:cs="Times New Roman"/>
          <w:color w:val="666666"/>
          <w:sz w:val="20"/>
          <w:szCs w:val="20"/>
          <w:lang w:eastAsia="ru-RU"/>
        </w:rPr>
        <w:t xml:space="preserve">В ходе проверок установлены факты нарушения </w:t>
      </w:r>
      <w:r w:rsidRPr="006B25EE">
        <w:rPr>
          <w:rFonts w:ascii="PTSansBold" w:eastAsia="Times New Roman" w:hAnsi="PTSansBold" w:cs="Times New Roman"/>
          <w:b/>
          <w:bCs/>
          <w:color w:val="666666"/>
          <w:sz w:val="20"/>
          <w:szCs w:val="20"/>
          <w:lang w:eastAsia="ru-RU"/>
        </w:rPr>
        <w:t>порядка формирования и исполнения государственного задания</w:t>
      </w:r>
      <w:r w:rsidRPr="006B25EE">
        <w:rPr>
          <w:rFonts w:ascii="PTSans" w:eastAsia="Times New Roman" w:hAnsi="PTSans" w:cs="Times New Roman"/>
          <w:color w:val="666666"/>
          <w:sz w:val="20"/>
          <w:szCs w:val="20"/>
          <w:lang w:eastAsia="ru-RU"/>
        </w:rPr>
        <w:t>, в том числе несвоевременное утверждение государственных заданий, утверждение в государственном задании государственных услуг или работ, не включенных в ведомственные перечни государственных услуг (работ) и услуг (работ) и не предусмотренных учредительными документами, нарушения сроков перечисления субсидий.</w:t>
      </w:r>
    </w:p>
    <w:p w:rsidR="006B25EE" w:rsidRPr="006B25EE" w:rsidRDefault="006B25EE" w:rsidP="006B25EE">
      <w:pPr>
        <w:shd w:val="clear" w:color="auto" w:fill="FFFFFF"/>
        <w:spacing w:before="100" w:beforeAutospacing="1" w:after="330" w:line="270" w:lineRule="atLeast"/>
        <w:rPr>
          <w:rFonts w:ascii="PTSans" w:eastAsia="Times New Roman" w:hAnsi="PTSans" w:cs="Times New Roman"/>
          <w:color w:val="666666"/>
          <w:sz w:val="20"/>
          <w:szCs w:val="20"/>
          <w:lang w:eastAsia="ru-RU"/>
        </w:rPr>
      </w:pPr>
      <w:r w:rsidRPr="006B25EE">
        <w:rPr>
          <w:rFonts w:ascii="PTSans" w:eastAsia="Times New Roman" w:hAnsi="PTSans" w:cs="Times New Roman"/>
          <w:color w:val="666666"/>
          <w:sz w:val="20"/>
          <w:szCs w:val="20"/>
          <w:lang w:eastAsia="ru-RU"/>
        </w:rPr>
        <w:t>Так, по отдельным учреждениям Ростехнадзора, Рослесхоза, Минстроя России, ФАНО России, Россвязи при формировании государственного задания включались услуги (работы), не предусмотренные учредительными документами. Роскосмосом не установлены показатели, характеризующие качество и (или) объем (содержание) государственной услуги (работы), а также порядок ее оказания (выполнения). Росмолодежь для своих учреждений сформировала и утвердила государственные задания на 2015 г. в отсутствие ведомственного перечня государственных услуг (работ).</w:t>
      </w:r>
    </w:p>
    <w:p w:rsidR="006B25EE" w:rsidRPr="006B25EE" w:rsidRDefault="006B25EE" w:rsidP="006B25EE">
      <w:pPr>
        <w:shd w:val="clear" w:color="auto" w:fill="FFFFFF"/>
        <w:spacing w:before="100" w:beforeAutospacing="1" w:after="330" w:line="270" w:lineRule="atLeast"/>
        <w:rPr>
          <w:rFonts w:ascii="PTSans" w:eastAsia="Times New Roman" w:hAnsi="PTSans" w:cs="Times New Roman"/>
          <w:color w:val="666666"/>
          <w:sz w:val="20"/>
          <w:szCs w:val="20"/>
          <w:lang w:eastAsia="ru-RU"/>
        </w:rPr>
      </w:pPr>
      <w:r w:rsidRPr="006B25EE">
        <w:rPr>
          <w:rFonts w:ascii="PTSans" w:eastAsia="Times New Roman" w:hAnsi="PTSans" w:cs="Times New Roman"/>
          <w:color w:val="666666"/>
          <w:sz w:val="20"/>
          <w:szCs w:val="20"/>
          <w:lang w:eastAsia="ru-RU"/>
        </w:rPr>
        <w:t>По 49 услугам (работам) плановые показатели государственного задания перевыполнены в более чем 2 раза, что свидетельствует о занижении показателей при их планировании. Так, плановые показатели государственной работы по формированию и учету музейного фонда Российской Федерации перевыполнены учреждениями Минкультуры России в 11,7 раза, Минспорта России – в 6,9 раза, ФГБУК «Государственный Эрмитаж» – в 43,4 раза.</w:t>
      </w:r>
    </w:p>
    <w:p w:rsidR="006B25EE" w:rsidRPr="006B25EE" w:rsidRDefault="006B25EE" w:rsidP="006B25EE">
      <w:pPr>
        <w:shd w:val="clear" w:color="auto" w:fill="FFFFFF"/>
        <w:spacing w:before="100" w:beforeAutospacing="1" w:after="330" w:line="270" w:lineRule="atLeast"/>
        <w:rPr>
          <w:rFonts w:ascii="PTSans" w:eastAsia="Times New Roman" w:hAnsi="PTSans" w:cs="Times New Roman"/>
          <w:color w:val="666666"/>
          <w:sz w:val="20"/>
          <w:szCs w:val="20"/>
          <w:lang w:eastAsia="ru-RU"/>
        </w:rPr>
      </w:pPr>
      <w:r w:rsidRPr="006B25EE">
        <w:rPr>
          <w:rFonts w:ascii="PTSans" w:eastAsia="Times New Roman" w:hAnsi="PTSans" w:cs="Times New Roman"/>
          <w:color w:val="666666"/>
          <w:sz w:val="20"/>
          <w:szCs w:val="20"/>
          <w:lang w:eastAsia="ru-RU"/>
        </w:rPr>
        <w:t>Следует отметить, что с 2010 г. по 2015 г. объем поступлений от приносящей доход деятельности ежегодно увеличивался (за исключением 2013 г., в котором поступления сократились на 4,5%). Так, в 2015 г. по сравнению с 2010 г. доходы учреждений от приносящей доход деятельности увеличились на 88,8 млрд руб., или на 18,7%, и составили 564,9 млрд руб., или 37,8% общего объема поступлений, что на 2,6 процентного пункта больше, чем в 2014 г.</w:t>
      </w:r>
    </w:p>
    <w:p w:rsidR="006B25EE" w:rsidRPr="006B25EE" w:rsidRDefault="006B25EE" w:rsidP="006B25EE">
      <w:pPr>
        <w:shd w:val="clear" w:color="auto" w:fill="FFFFFF"/>
        <w:spacing w:before="100" w:beforeAutospacing="1" w:after="330" w:line="270" w:lineRule="atLeast"/>
        <w:rPr>
          <w:rFonts w:ascii="PTSans" w:eastAsia="Times New Roman" w:hAnsi="PTSans" w:cs="Times New Roman"/>
          <w:color w:val="666666"/>
          <w:sz w:val="20"/>
          <w:szCs w:val="20"/>
          <w:lang w:eastAsia="ru-RU"/>
        </w:rPr>
      </w:pPr>
      <w:r w:rsidRPr="006B25EE">
        <w:rPr>
          <w:rFonts w:ascii="PTSans" w:eastAsia="Times New Roman" w:hAnsi="PTSans" w:cs="Times New Roman"/>
          <w:color w:val="666666"/>
          <w:sz w:val="20"/>
          <w:szCs w:val="20"/>
          <w:lang w:eastAsia="ru-RU"/>
        </w:rPr>
        <w:t xml:space="preserve">По учреждениям, подведомственным отдельным главным распорядителям средств федерального бюджета, поступления от приносящей доход деятельности превысили объем субсидий, предоставленных в 2015 г. из федерального бюджета. Так, доходы учреждений, подведомственных Росавтодору, от приносящей доход деятельности за 2015 г. составили 1 137,4 млн руб., что в 6,9 раза больше, чем объем полученных субсидий на выполнение государственных заданий и субсидий на иные цели (164,8 млн руб.), Ростехнадзору – 702,5 млн руб., что в 6 раз больше полученных субсидий (117,1 млн руб.), Минтрансу России – 756,4 млн руб., что в 4,9 раза больше полученных субсидий (153,7 млн руб.). </w:t>
      </w:r>
    </w:p>
    <w:p w:rsidR="006B25EE" w:rsidRPr="006B25EE" w:rsidRDefault="006B25EE" w:rsidP="006B25EE">
      <w:pPr>
        <w:shd w:val="clear" w:color="auto" w:fill="FFFFFF"/>
        <w:spacing w:before="100" w:beforeAutospacing="1" w:after="330" w:line="270" w:lineRule="atLeast"/>
        <w:rPr>
          <w:rFonts w:ascii="PTSans" w:eastAsia="Times New Roman" w:hAnsi="PTSans" w:cs="Times New Roman"/>
          <w:color w:val="666666"/>
          <w:sz w:val="20"/>
          <w:szCs w:val="20"/>
          <w:lang w:eastAsia="ru-RU"/>
        </w:rPr>
      </w:pPr>
      <w:r w:rsidRPr="006B25EE">
        <w:rPr>
          <w:rFonts w:ascii="PTSans" w:eastAsia="Times New Roman" w:hAnsi="PTSans" w:cs="Times New Roman"/>
          <w:color w:val="666666"/>
          <w:sz w:val="20"/>
          <w:szCs w:val="20"/>
          <w:lang w:eastAsia="ru-RU"/>
        </w:rPr>
        <w:t>По данным главных распорядителей</w:t>
      </w:r>
      <w:r w:rsidRPr="006B25EE">
        <w:rPr>
          <w:rFonts w:ascii="PTSansBold" w:eastAsia="Times New Roman" w:hAnsi="PTSansBold" w:cs="Times New Roman"/>
          <w:b/>
          <w:bCs/>
          <w:color w:val="666666"/>
          <w:sz w:val="20"/>
          <w:szCs w:val="20"/>
          <w:lang w:eastAsia="ru-RU"/>
        </w:rPr>
        <w:t xml:space="preserve"> объем остатков субсидий и бюджетных инвестиций </w:t>
      </w:r>
      <w:r w:rsidRPr="006B25EE">
        <w:rPr>
          <w:rFonts w:ascii="PTSans" w:eastAsia="Times New Roman" w:hAnsi="PTSans" w:cs="Times New Roman"/>
          <w:color w:val="666666"/>
          <w:sz w:val="20"/>
          <w:szCs w:val="20"/>
          <w:lang w:eastAsia="ru-RU"/>
        </w:rPr>
        <w:t>по состоянию на 1 января 2016 г. составил 381,2 млрд руб. Из указанного объема остатков подлежали перечислению на казначейские счета 210,4 млрд руб., из которых перечислено 144,2 млрд руб. Объем остатков субсидий и взносов, в отношении которых главными распорядителями по согласованию с Минфином России принято решение об их использовании в 2016 г. на цели, ранее установленные условиями предоставления соответствующих средств, составил 141,5 млрд руб., или 98,1% суммы остатков, перечисленных на казначейские счета. Вместе с тем проведенный анализ показывает, что рядом главных распорядителей приняты решения об использовании остатков средств в объеме около 50 млрд руб. на цели, по которым в Федеральном законе № 359-ФЗ запланированы бюджетные ассигнования на 2016 г. При этом принятие решений об использовании остатков целевых средств осуществляется при отсутствии нормативного правового регулирования порядка подтверждения потребности в использовании остатков целевых средств.</w:t>
      </w:r>
    </w:p>
    <w:p w:rsidR="006B25EE" w:rsidRPr="006B25EE" w:rsidRDefault="006B25EE" w:rsidP="006B25EE">
      <w:pPr>
        <w:shd w:val="clear" w:color="auto" w:fill="FFFFFF"/>
        <w:spacing w:before="100" w:beforeAutospacing="1" w:after="330" w:line="270" w:lineRule="atLeast"/>
        <w:rPr>
          <w:rFonts w:ascii="PTSans" w:eastAsia="Times New Roman" w:hAnsi="PTSans" w:cs="Times New Roman"/>
          <w:color w:val="666666"/>
          <w:sz w:val="20"/>
          <w:szCs w:val="20"/>
          <w:lang w:eastAsia="ru-RU"/>
        </w:rPr>
      </w:pPr>
      <w:r w:rsidRPr="006B25EE">
        <w:rPr>
          <w:rFonts w:ascii="PTSans" w:eastAsia="Times New Roman" w:hAnsi="PTSans" w:cs="Times New Roman"/>
          <w:color w:val="666666"/>
          <w:sz w:val="20"/>
          <w:szCs w:val="20"/>
          <w:lang w:eastAsia="ru-RU"/>
        </w:rPr>
        <w:t>Так, Федеральным законом № 359-ФЗ предусмотрен объем бюджетных ассигнований на предоставление Минфином России субсидии некоммерческой организации «Фонд развития Центра разработки и коммерциализации новых технологий» в объеме 12,6 млрд руб. Исполнение указанной субсидии составило 1,8 млрд руб., или лишь 14,3% показателя сводной росписи. При этом Минфином России принято решение об использовании в полном объеме (15,4 млрд руб.) остатка субсидии указанной организации, что на 21,9% больше объема указанной субсидии, предусмотренной на 2016 г.</w:t>
      </w:r>
    </w:p>
    <w:p w:rsidR="006B25EE" w:rsidRPr="006B25EE" w:rsidRDefault="006B25EE" w:rsidP="006B25EE">
      <w:pPr>
        <w:shd w:val="clear" w:color="auto" w:fill="FFFFFF"/>
        <w:spacing w:before="100" w:beforeAutospacing="1" w:after="330" w:line="270" w:lineRule="atLeast"/>
        <w:rPr>
          <w:rFonts w:ascii="PTSans" w:eastAsia="Times New Roman" w:hAnsi="PTSans" w:cs="Times New Roman"/>
          <w:color w:val="666666"/>
          <w:sz w:val="20"/>
          <w:szCs w:val="20"/>
          <w:lang w:eastAsia="ru-RU"/>
        </w:rPr>
      </w:pPr>
      <w:r w:rsidRPr="006B25EE">
        <w:rPr>
          <w:rFonts w:ascii="PTSans" w:eastAsia="Times New Roman" w:hAnsi="PTSans" w:cs="Times New Roman"/>
          <w:color w:val="666666"/>
          <w:sz w:val="20"/>
          <w:szCs w:val="20"/>
          <w:lang w:eastAsia="ru-RU"/>
        </w:rPr>
        <w:t>В связи с этим Счетная палата предлагает при внесении изменений в Федеральный закон № 359-ФЗ предусмотреть уменьшение бюджетных ассигнований соответствующим главным распорядителям.</w:t>
      </w:r>
    </w:p>
    <w:p w:rsidR="006B25EE" w:rsidRPr="006B25EE" w:rsidRDefault="006B25EE" w:rsidP="006B25EE">
      <w:pPr>
        <w:shd w:val="clear" w:color="auto" w:fill="FFFFFF"/>
        <w:spacing w:before="100" w:beforeAutospacing="1" w:after="330" w:line="270" w:lineRule="atLeast"/>
        <w:rPr>
          <w:rFonts w:ascii="PTSans" w:eastAsia="Times New Roman" w:hAnsi="PTSans" w:cs="Times New Roman"/>
          <w:color w:val="666666"/>
          <w:sz w:val="20"/>
          <w:szCs w:val="20"/>
          <w:lang w:eastAsia="ru-RU"/>
        </w:rPr>
      </w:pPr>
      <w:r w:rsidRPr="006B25EE">
        <w:rPr>
          <w:rFonts w:ascii="PTSansBold" w:eastAsia="Times New Roman" w:hAnsi="PTSansBold" w:cs="Times New Roman"/>
          <w:b/>
          <w:bCs/>
          <w:color w:val="666666"/>
          <w:sz w:val="20"/>
          <w:szCs w:val="20"/>
          <w:lang w:eastAsia="ru-RU"/>
        </w:rPr>
        <w:t>Дефицит</w:t>
      </w:r>
      <w:r w:rsidRPr="006B25EE">
        <w:rPr>
          <w:rFonts w:ascii="PTSans" w:eastAsia="Times New Roman" w:hAnsi="PTSans" w:cs="Times New Roman"/>
          <w:color w:val="666666"/>
          <w:sz w:val="20"/>
          <w:szCs w:val="20"/>
          <w:lang w:eastAsia="ru-RU"/>
        </w:rPr>
        <w:t xml:space="preserve"> составил 1,96 трлн руб. при законодательно установленном годовом уровне дефицита в размере 2,17 трлн руб.</w:t>
      </w:r>
    </w:p>
    <w:p w:rsidR="006B25EE" w:rsidRPr="006B25EE" w:rsidRDefault="006B25EE" w:rsidP="006B25EE">
      <w:pPr>
        <w:shd w:val="clear" w:color="auto" w:fill="FFFFFF"/>
        <w:spacing w:before="100" w:beforeAutospacing="1" w:after="330" w:line="270" w:lineRule="atLeast"/>
        <w:rPr>
          <w:rFonts w:ascii="PTSans" w:eastAsia="Times New Roman" w:hAnsi="PTSans" w:cs="Times New Roman"/>
          <w:color w:val="666666"/>
          <w:sz w:val="20"/>
          <w:szCs w:val="20"/>
          <w:lang w:eastAsia="ru-RU"/>
        </w:rPr>
      </w:pPr>
      <w:r w:rsidRPr="006B25EE">
        <w:rPr>
          <w:rFonts w:ascii="PTSans" w:eastAsia="Times New Roman" w:hAnsi="PTSans" w:cs="Times New Roman"/>
          <w:color w:val="666666"/>
          <w:sz w:val="20"/>
          <w:szCs w:val="20"/>
          <w:lang w:eastAsia="ru-RU"/>
        </w:rPr>
        <w:t xml:space="preserve">В 2015 г. была осуществлена операция по обмену государственных ценных бумаг Российской Федерации с целью снижения объема </w:t>
      </w:r>
      <w:r w:rsidRPr="006B25EE">
        <w:rPr>
          <w:rFonts w:ascii="PTSansBold" w:eastAsia="Times New Roman" w:hAnsi="PTSansBold" w:cs="Times New Roman"/>
          <w:b/>
          <w:bCs/>
          <w:color w:val="666666"/>
          <w:sz w:val="20"/>
          <w:szCs w:val="20"/>
          <w:lang w:eastAsia="ru-RU"/>
        </w:rPr>
        <w:t>государственного внутреннего долга Российской Федерации</w:t>
      </w:r>
      <w:r w:rsidRPr="006B25EE">
        <w:rPr>
          <w:rFonts w:ascii="PTSans" w:eastAsia="Times New Roman" w:hAnsi="PTSans" w:cs="Times New Roman"/>
          <w:color w:val="666666"/>
          <w:sz w:val="20"/>
          <w:szCs w:val="20"/>
          <w:lang w:eastAsia="ru-RU"/>
        </w:rPr>
        <w:t xml:space="preserve"> и сокращения расходов на его обслуживание. В результате обмена государственный внутренний долг Российской Федерации сократился на 43,6 млрд руб.</w:t>
      </w:r>
    </w:p>
    <w:p w:rsidR="006B25EE" w:rsidRPr="006B25EE" w:rsidRDefault="006B25EE" w:rsidP="006B25EE">
      <w:pPr>
        <w:shd w:val="clear" w:color="auto" w:fill="FFFFFF"/>
        <w:spacing w:before="100" w:beforeAutospacing="1" w:after="330" w:line="270" w:lineRule="atLeast"/>
        <w:rPr>
          <w:rFonts w:ascii="PTSans" w:eastAsia="Times New Roman" w:hAnsi="PTSans" w:cs="Times New Roman"/>
          <w:color w:val="666666"/>
          <w:sz w:val="20"/>
          <w:szCs w:val="20"/>
          <w:lang w:eastAsia="ru-RU"/>
        </w:rPr>
      </w:pPr>
      <w:r w:rsidRPr="006B25EE">
        <w:rPr>
          <w:rFonts w:ascii="PTSans" w:eastAsia="Times New Roman" w:hAnsi="PTSans" w:cs="Times New Roman"/>
          <w:color w:val="666666"/>
          <w:sz w:val="20"/>
          <w:szCs w:val="20"/>
          <w:lang w:eastAsia="ru-RU"/>
        </w:rPr>
        <w:t>С учетом некассовой операции по обмену государственных ценных бумаг исполнение в 2015 г. Программы государственных внутренних заимствований Российской Федерации составило 19,1%.</w:t>
      </w:r>
    </w:p>
    <w:p w:rsidR="006B25EE" w:rsidRPr="006B25EE" w:rsidRDefault="006B25EE" w:rsidP="006B25EE">
      <w:pPr>
        <w:shd w:val="clear" w:color="auto" w:fill="FFFFFF"/>
        <w:spacing w:before="100" w:beforeAutospacing="1" w:after="330" w:line="270" w:lineRule="atLeast"/>
        <w:rPr>
          <w:rFonts w:ascii="PTSans" w:eastAsia="Times New Roman" w:hAnsi="PTSans" w:cs="Times New Roman"/>
          <w:color w:val="666666"/>
          <w:sz w:val="20"/>
          <w:szCs w:val="20"/>
          <w:lang w:eastAsia="ru-RU"/>
        </w:rPr>
      </w:pPr>
      <w:r w:rsidRPr="006B25EE">
        <w:rPr>
          <w:rFonts w:ascii="PTSansBold" w:eastAsia="Times New Roman" w:hAnsi="PTSansBold" w:cs="Times New Roman"/>
          <w:b/>
          <w:bCs/>
          <w:color w:val="666666"/>
          <w:sz w:val="20"/>
          <w:szCs w:val="20"/>
          <w:lang w:eastAsia="ru-RU"/>
        </w:rPr>
        <w:t>Совокупный объем Резервного фонда</w:t>
      </w:r>
      <w:r w:rsidRPr="006B25EE">
        <w:rPr>
          <w:rFonts w:ascii="PTSans" w:eastAsia="Times New Roman" w:hAnsi="PTSans" w:cs="Times New Roman"/>
          <w:color w:val="666666"/>
          <w:sz w:val="20"/>
          <w:szCs w:val="20"/>
          <w:lang w:eastAsia="ru-RU"/>
        </w:rPr>
        <w:t xml:space="preserve"> в 2015 г. уменьшился на 26,4% и по итогам года составил 3,64 трлн руб. В основном, изменение объема фонда связано с использованием в объеме 2,6 трлн руб., а также положительной курсовой разницей, образовавшейся в результате переоценки средств на счетах в Банке России, в объеме 0,9 трлн руб.</w:t>
      </w:r>
    </w:p>
    <w:p w:rsidR="006B25EE" w:rsidRPr="006B25EE" w:rsidRDefault="006B25EE" w:rsidP="006B25EE">
      <w:pPr>
        <w:shd w:val="clear" w:color="auto" w:fill="FFFFFF"/>
        <w:spacing w:before="100" w:beforeAutospacing="1" w:after="330" w:line="270" w:lineRule="atLeast"/>
        <w:rPr>
          <w:rFonts w:ascii="PTSans" w:eastAsia="Times New Roman" w:hAnsi="PTSans" w:cs="Times New Roman"/>
          <w:color w:val="666666"/>
          <w:sz w:val="20"/>
          <w:szCs w:val="20"/>
          <w:lang w:eastAsia="ru-RU"/>
        </w:rPr>
      </w:pPr>
      <w:r w:rsidRPr="006B25EE">
        <w:rPr>
          <w:rFonts w:ascii="PTSans" w:eastAsia="Times New Roman" w:hAnsi="PTSans" w:cs="Times New Roman"/>
          <w:color w:val="666666"/>
          <w:sz w:val="20"/>
          <w:szCs w:val="20"/>
          <w:lang w:eastAsia="ru-RU"/>
        </w:rPr>
        <w:t>Совокупный объем ФНБ увеличился на 19,1%, в основном за счет положительной курсовой разницы от переоценки средств Фонда в объеме 0,9 трлн руб., и по итогам года составил 5,23 трлн руб.</w:t>
      </w:r>
    </w:p>
    <w:p w:rsidR="006B25EE" w:rsidRPr="006B25EE" w:rsidRDefault="006B25EE" w:rsidP="006B25EE">
      <w:pPr>
        <w:shd w:val="clear" w:color="auto" w:fill="FFFFFF"/>
        <w:spacing w:before="100" w:beforeAutospacing="1" w:after="330" w:line="270" w:lineRule="atLeast"/>
        <w:rPr>
          <w:rFonts w:ascii="PTSans" w:eastAsia="Times New Roman" w:hAnsi="PTSans" w:cs="Times New Roman"/>
          <w:color w:val="666666"/>
          <w:sz w:val="20"/>
          <w:szCs w:val="20"/>
          <w:lang w:eastAsia="ru-RU"/>
        </w:rPr>
      </w:pPr>
      <w:r w:rsidRPr="006B25EE">
        <w:rPr>
          <w:rFonts w:ascii="PTSans" w:eastAsia="Times New Roman" w:hAnsi="PTSans" w:cs="Times New Roman"/>
          <w:color w:val="666666"/>
          <w:sz w:val="20"/>
          <w:szCs w:val="20"/>
          <w:lang w:eastAsia="ru-RU"/>
        </w:rPr>
        <w:t>В 2015 г. за период с 15 января 2014 г. по 15 января 2015 г в доход федерального бюджета перечислен процентный доход от размещения средств Резервного фонда и Фонда национального благосостояния на валютных счетах в Банке России в объеме 50,48 млрд руб. и 35,99 млрд руб., что выше аналогичных показателей в 2014 г. в 9,8 раза и в 9,5 раза, соответственно.</w:t>
      </w:r>
    </w:p>
    <w:p w:rsidR="006B25EE" w:rsidRPr="006B25EE" w:rsidRDefault="006B25EE" w:rsidP="006B25EE">
      <w:pPr>
        <w:shd w:val="clear" w:color="auto" w:fill="FFFFFF"/>
        <w:spacing w:before="100" w:beforeAutospacing="1" w:after="330" w:line="270" w:lineRule="atLeast"/>
        <w:rPr>
          <w:rFonts w:ascii="PTSans" w:eastAsia="Times New Roman" w:hAnsi="PTSans" w:cs="Times New Roman"/>
          <w:color w:val="666666"/>
          <w:sz w:val="20"/>
          <w:szCs w:val="20"/>
          <w:lang w:eastAsia="ru-RU"/>
        </w:rPr>
      </w:pPr>
      <w:r w:rsidRPr="006B25EE">
        <w:rPr>
          <w:rFonts w:ascii="PTSansBold" w:eastAsia="Times New Roman" w:hAnsi="PTSansBold" w:cs="Times New Roman"/>
          <w:b/>
          <w:bCs/>
          <w:color w:val="666666"/>
          <w:sz w:val="20"/>
          <w:szCs w:val="20"/>
          <w:lang w:eastAsia="ru-RU"/>
        </w:rPr>
        <w:t>Государственный долг Российской Федерации</w:t>
      </w:r>
      <w:r w:rsidRPr="006B25EE">
        <w:rPr>
          <w:rFonts w:ascii="PTSans" w:eastAsia="Times New Roman" w:hAnsi="PTSans" w:cs="Times New Roman"/>
          <w:color w:val="666666"/>
          <w:sz w:val="20"/>
          <w:szCs w:val="20"/>
          <w:lang w:eastAsia="ru-RU"/>
        </w:rPr>
        <w:t xml:space="preserve"> по итогам 2015 г. увеличился 6,3% и составил 10,95 трлн руб., или 13,6% ВВП. </w:t>
      </w:r>
    </w:p>
    <w:p w:rsidR="006B25EE" w:rsidRPr="006B25EE" w:rsidRDefault="006B25EE" w:rsidP="006B25EE">
      <w:pPr>
        <w:shd w:val="clear" w:color="auto" w:fill="FFFFFF"/>
        <w:spacing w:before="100" w:beforeAutospacing="1" w:after="330" w:line="270" w:lineRule="atLeast"/>
        <w:rPr>
          <w:rFonts w:ascii="PTSans" w:eastAsia="Times New Roman" w:hAnsi="PTSans" w:cs="Times New Roman"/>
          <w:color w:val="666666"/>
          <w:sz w:val="20"/>
          <w:szCs w:val="20"/>
          <w:lang w:eastAsia="ru-RU"/>
        </w:rPr>
      </w:pPr>
      <w:r w:rsidRPr="006B25EE">
        <w:rPr>
          <w:rFonts w:ascii="PTSansBold" w:eastAsia="Times New Roman" w:hAnsi="PTSansBold" w:cs="Times New Roman"/>
          <w:b/>
          <w:bCs/>
          <w:color w:val="666666"/>
          <w:sz w:val="20"/>
          <w:szCs w:val="20"/>
          <w:lang w:eastAsia="ru-RU"/>
        </w:rPr>
        <w:t>Государственный внешний долг Российской Федерации</w:t>
      </w:r>
      <w:r w:rsidRPr="006B25EE">
        <w:rPr>
          <w:rFonts w:ascii="PTSans" w:eastAsia="Times New Roman" w:hAnsi="PTSans" w:cs="Times New Roman"/>
          <w:color w:val="666666"/>
          <w:sz w:val="20"/>
          <w:szCs w:val="20"/>
          <w:lang w:eastAsia="ru-RU"/>
        </w:rPr>
        <w:t xml:space="preserve"> за 2015 г. в долларовом выражении уменьшился на 8% и на 1 января 2016 г. составил $50 млрд.</w:t>
      </w:r>
    </w:p>
    <w:p w:rsidR="006B25EE" w:rsidRPr="006B25EE" w:rsidRDefault="006B25EE" w:rsidP="006B25EE">
      <w:pPr>
        <w:shd w:val="clear" w:color="auto" w:fill="FFFFFF"/>
        <w:spacing w:before="100" w:beforeAutospacing="1" w:after="330" w:line="270" w:lineRule="atLeast"/>
        <w:rPr>
          <w:rFonts w:ascii="PTSans" w:eastAsia="Times New Roman" w:hAnsi="PTSans" w:cs="Times New Roman"/>
          <w:color w:val="666666"/>
          <w:sz w:val="20"/>
          <w:szCs w:val="20"/>
          <w:lang w:eastAsia="ru-RU"/>
        </w:rPr>
      </w:pPr>
      <w:r w:rsidRPr="006B25EE">
        <w:rPr>
          <w:rFonts w:ascii="PTSansBold" w:eastAsia="Times New Roman" w:hAnsi="PTSansBold" w:cs="Times New Roman"/>
          <w:b/>
          <w:bCs/>
          <w:color w:val="666666"/>
          <w:sz w:val="20"/>
          <w:szCs w:val="20"/>
          <w:lang w:eastAsia="ru-RU"/>
        </w:rPr>
        <w:t>Государственный внутренний долг Российской Федерации</w:t>
      </w:r>
      <w:r w:rsidRPr="006B25EE">
        <w:rPr>
          <w:rFonts w:ascii="PTSans" w:eastAsia="Times New Roman" w:hAnsi="PTSans" w:cs="Times New Roman"/>
          <w:color w:val="666666"/>
          <w:sz w:val="20"/>
          <w:szCs w:val="20"/>
          <w:lang w:eastAsia="ru-RU"/>
        </w:rPr>
        <w:t xml:space="preserve"> за 2015 г. увеличился на 0,9% и на 1 января 2016 г. составил 7 307,6 млрд руб.</w:t>
      </w:r>
    </w:p>
    <w:p w:rsidR="006B25EE" w:rsidRPr="006B25EE" w:rsidRDefault="006B25EE" w:rsidP="006B25EE">
      <w:pPr>
        <w:shd w:val="clear" w:color="auto" w:fill="FFFFFF"/>
        <w:spacing w:before="100" w:beforeAutospacing="1" w:after="330" w:line="270" w:lineRule="atLeast"/>
        <w:rPr>
          <w:rFonts w:ascii="PTSans" w:eastAsia="Times New Roman" w:hAnsi="PTSans" w:cs="Times New Roman"/>
          <w:color w:val="666666"/>
          <w:sz w:val="20"/>
          <w:szCs w:val="20"/>
          <w:lang w:eastAsia="ru-RU"/>
        </w:rPr>
      </w:pPr>
      <w:r w:rsidRPr="006B25EE">
        <w:rPr>
          <w:rFonts w:ascii="PTSans" w:eastAsia="Times New Roman" w:hAnsi="PTSans" w:cs="Times New Roman"/>
          <w:color w:val="666666"/>
          <w:sz w:val="20"/>
          <w:szCs w:val="20"/>
          <w:lang w:eastAsia="ru-RU"/>
        </w:rPr>
        <w:t xml:space="preserve">Общий </w:t>
      </w:r>
      <w:r w:rsidRPr="006B25EE">
        <w:rPr>
          <w:rFonts w:ascii="PTSansBold" w:eastAsia="Times New Roman" w:hAnsi="PTSansBold" w:cs="Times New Roman"/>
          <w:b/>
          <w:bCs/>
          <w:color w:val="666666"/>
          <w:sz w:val="20"/>
          <w:szCs w:val="20"/>
          <w:lang w:eastAsia="ru-RU"/>
        </w:rPr>
        <w:t>объем антикризисного фонда</w:t>
      </w:r>
      <w:r w:rsidRPr="006B25EE">
        <w:rPr>
          <w:rFonts w:ascii="PTSans" w:eastAsia="Times New Roman" w:hAnsi="PTSans" w:cs="Times New Roman"/>
          <w:color w:val="666666"/>
          <w:sz w:val="20"/>
          <w:szCs w:val="20"/>
          <w:lang w:eastAsia="ru-RU"/>
        </w:rPr>
        <w:t xml:space="preserve"> составил </w:t>
      </w:r>
      <w:r w:rsidRPr="006B25EE">
        <w:rPr>
          <w:rFonts w:ascii="PTSansBold" w:eastAsia="Times New Roman" w:hAnsi="PTSansBold" w:cs="Times New Roman"/>
          <w:b/>
          <w:bCs/>
          <w:color w:val="666666"/>
          <w:sz w:val="20"/>
          <w:szCs w:val="20"/>
          <w:lang w:eastAsia="ru-RU"/>
        </w:rPr>
        <w:t>231 227,1 млн руб</w:t>
      </w:r>
      <w:r w:rsidRPr="006B25EE">
        <w:rPr>
          <w:rFonts w:ascii="PTSans" w:eastAsia="Times New Roman" w:hAnsi="PTSans" w:cs="Times New Roman"/>
          <w:color w:val="666666"/>
          <w:sz w:val="20"/>
          <w:szCs w:val="20"/>
          <w:lang w:eastAsia="ru-RU"/>
        </w:rPr>
        <w:t xml:space="preserve">. </w:t>
      </w:r>
      <w:r w:rsidRPr="006B25EE">
        <w:rPr>
          <w:rFonts w:ascii="PTSansBold" w:eastAsia="Times New Roman" w:hAnsi="PTSansBold" w:cs="Times New Roman"/>
          <w:b/>
          <w:bCs/>
          <w:color w:val="666666"/>
          <w:sz w:val="20"/>
          <w:szCs w:val="20"/>
          <w:lang w:eastAsia="ru-RU"/>
        </w:rPr>
        <w:t>По оценке Счетной палаты</w:t>
      </w:r>
      <w:r w:rsidRPr="006B25EE">
        <w:rPr>
          <w:rFonts w:ascii="PTSans" w:eastAsia="Times New Roman" w:hAnsi="PTSans" w:cs="Times New Roman"/>
          <w:color w:val="666666"/>
          <w:sz w:val="20"/>
          <w:szCs w:val="20"/>
          <w:lang w:eastAsia="ru-RU"/>
        </w:rPr>
        <w:t>, на мероприятия Плана первоочередных мероприятий по обеспечению устойчивого развития экономики и социальной стабильности в 2015 г., утвержденного распоряжением Правительства Российской Федерации от 27 января 2015 г. № 98-р (далее - План), в 2015 г. сводной бюджетной росписью с учетом изменений было предусмотрено</w:t>
      </w:r>
      <w:r w:rsidRPr="006B25EE">
        <w:rPr>
          <w:rFonts w:ascii="PTSansBold" w:eastAsia="Times New Roman" w:hAnsi="PTSansBold" w:cs="Times New Roman"/>
          <w:b/>
          <w:bCs/>
          <w:color w:val="666666"/>
          <w:sz w:val="20"/>
          <w:szCs w:val="20"/>
          <w:lang w:eastAsia="ru-RU"/>
        </w:rPr>
        <w:t xml:space="preserve"> 338 499,9 млн руб.</w:t>
      </w:r>
      <w:r w:rsidRPr="006B25EE">
        <w:rPr>
          <w:rFonts w:ascii="PTSans" w:eastAsia="Times New Roman" w:hAnsi="PTSans" w:cs="Times New Roman"/>
          <w:color w:val="666666"/>
          <w:sz w:val="20"/>
          <w:szCs w:val="20"/>
          <w:lang w:eastAsia="ru-RU"/>
        </w:rPr>
        <w:t>, в том числе:</w:t>
      </w:r>
    </w:p>
    <w:p w:rsidR="006B25EE" w:rsidRPr="006B25EE" w:rsidRDefault="006B25EE" w:rsidP="006B25EE">
      <w:pPr>
        <w:shd w:val="clear" w:color="auto" w:fill="FFFFFF"/>
        <w:spacing w:before="100" w:beforeAutospacing="1" w:after="330" w:line="270" w:lineRule="atLeast"/>
        <w:rPr>
          <w:rFonts w:ascii="PTSans" w:eastAsia="Times New Roman" w:hAnsi="PTSans" w:cs="Times New Roman"/>
          <w:color w:val="666666"/>
          <w:sz w:val="20"/>
          <w:szCs w:val="20"/>
          <w:lang w:eastAsia="ru-RU"/>
        </w:rPr>
      </w:pPr>
      <w:r w:rsidRPr="006B25EE">
        <w:rPr>
          <w:rFonts w:ascii="PTSans" w:eastAsia="Times New Roman" w:hAnsi="PTSans" w:cs="Times New Roman"/>
          <w:color w:val="666666"/>
          <w:sz w:val="20"/>
          <w:szCs w:val="20"/>
          <w:lang w:eastAsia="ru-RU"/>
        </w:rPr>
        <w:t>- в рамках Федерального закона от 20 апреля 2015 г. № 93-ФЗ - 212 474,4 млн. руб., в том числе на индексацию с 1 февраля 2015 г. пенсионных выплат населению – 187 974,4 млн. руб., на предоставление дополнительных средств федерального бюджета на государственную поддержку сельского хозяйства – 20 000,0 млн. руб., на взнос в уставный капитал ОАО «АИЖК» - 4 500 млн. руб.;</w:t>
      </w:r>
    </w:p>
    <w:p w:rsidR="006B25EE" w:rsidRPr="006B25EE" w:rsidRDefault="006B25EE" w:rsidP="006B25EE">
      <w:pPr>
        <w:shd w:val="clear" w:color="auto" w:fill="FFFFFF"/>
        <w:spacing w:before="100" w:beforeAutospacing="1" w:after="330" w:line="270" w:lineRule="atLeast"/>
        <w:rPr>
          <w:rFonts w:ascii="PTSans" w:eastAsia="Times New Roman" w:hAnsi="PTSans" w:cs="Times New Roman"/>
          <w:color w:val="666666"/>
          <w:sz w:val="20"/>
          <w:szCs w:val="20"/>
          <w:lang w:eastAsia="ru-RU"/>
        </w:rPr>
      </w:pPr>
      <w:r w:rsidRPr="006B25EE">
        <w:rPr>
          <w:rFonts w:ascii="PTSans" w:eastAsia="Times New Roman" w:hAnsi="PTSans" w:cs="Times New Roman"/>
          <w:color w:val="666666"/>
          <w:sz w:val="20"/>
          <w:szCs w:val="20"/>
          <w:lang w:eastAsia="ru-RU"/>
        </w:rPr>
        <w:t>- из антикризисного фонда в течение 2015 г. по решениям Правительства Российской Федерации выделено 126 025,5 млн руб.</w:t>
      </w:r>
    </w:p>
    <w:p w:rsidR="006B25EE" w:rsidRPr="006B25EE" w:rsidRDefault="006B25EE" w:rsidP="006B25EE">
      <w:pPr>
        <w:shd w:val="clear" w:color="auto" w:fill="FFFFFF"/>
        <w:spacing w:before="100" w:beforeAutospacing="1" w:after="330" w:line="270" w:lineRule="atLeast"/>
        <w:rPr>
          <w:rFonts w:ascii="PTSans" w:eastAsia="Times New Roman" w:hAnsi="PTSans" w:cs="Times New Roman"/>
          <w:color w:val="666666"/>
          <w:sz w:val="20"/>
          <w:szCs w:val="20"/>
          <w:lang w:eastAsia="ru-RU"/>
        </w:rPr>
      </w:pPr>
      <w:r w:rsidRPr="006B25EE">
        <w:rPr>
          <w:rFonts w:ascii="PTSans" w:eastAsia="Times New Roman" w:hAnsi="PTSans" w:cs="Times New Roman"/>
          <w:color w:val="666666"/>
          <w:sz w:val="20"/>
          <w:szCs w:val="20"/>
          <w:lang w:eastAsia="ru-RU"/>
        </w:rPr>
        <w:t>Кассовое исполнение указанных расходов составило 336 584,2 млн руб. (99,4% показателя сводной бюджетной росписи).</w:t>
      </w:r>
    </w:p>
    <w:p w:rsidR="006B25EE" w:rsidRPr="006B25EE" w:rsidRDefault="006B25EE" w:rsidP="006B25EE">
      <w:pPr>
        <w:shd w:val="clear" w:color="auto" w:fill="FFFFFF"/>
        <w:spacing w:before="100" w:beforeAutospacing="1" w:after="330" w:line="270" w:lineRule="atLeast"/>
        <w:rPr>
          <w:rFonts w:ascii="PTSans" w:eastAsia="Times New Roman" w:hAnsi="PTSans" w:cs="Times New Roman"/>
          <w:color w:val="666666"/>
          <w:sz w:val="20"/>
          <w:szCs w:val="20"/>
          <w:lang w:eastAsia="ru-RU"/>
        </w:rPr>
      </w:pPr>
      <w:r w:rsidRPr="006B25EE">
        <w:rPr>
          <w:rFonts w:ascii="PTSans" w:eastAsia="Times New Roman" w:hAnsi="PTSans" w:cs="Times New Roman"/>
          <w:color w:val="666666"/>
          <w:sz w:val="20"/>
          <w:szCs w:val="20"/>
          <w:lang w:eastAsia="ru-RU"/>
        </w:rPr>
        <w:t>По оценке Счетной палаты, проведенной с точки зрения принятия нормативных правовых актов, других документов, финансового обеспечения мероприятий в 2015 г. выполнено 44 пункта плана (73,3 %), частично выполнено 13 пунктов (21,7 %), не выполнено 3 пункта (5 %). Однако принятие необходимых нормативных правовых актов и выделение бюджетных ассигнований не подразумевает одновременного достижения результата. Таким образом, с учетом принятия законодательной и нормативной базы, а также использования выделенных федеральных средств и их влияния на социально-экономические показатели в 2015 г. выполнено 16 пунктов (26,7 %), частично выполнено 30 пунктов (50 %), не выполнено 14 пунктов (23,3 %).</w:t>
      </w:r>
    </w:p>
    <w:p w:rsidR="006B25EE" w:rsidRPr="006B25EE" w:rsidRDefault="006B25EE" w:rsidP="006B25EE">
      <w:pPr>
        <w:shd w:val="clear" w:color="auto" w:fill="FFFFFF"/>
        <w:spacing w:before="100" w:beforeAutospacing="1" w:after="330" w:line="270" w:lineRule="atLeast"/>
        <w:rPr>
          <w:rFonts w:ascii="PTSans" w:eastAsia="Times New Roman" w:hAnsi="PTSans" w:cs="Times New Roman"/>
          <w:color w:val="666666"/>
          <w:sz w:val="20"/>
          <w:szCs w:val="20"/>
          <w:lang w:eastAsia="ru-RU"/>
        </w:rPr>
      </w:pPr>
      <w:r w:rsidRPr="006B25EE">
        <w:rPr>
          <w:rFonts w:ascii="PTSans" w:eastAsia="Times New Roman" w:hAnsi="PTSans" w:cs="Times New Roman"/>
          <w:color w:val="666666"/>
          <w:sz w:val="20"/>
          <w:szCs w:val="20"/>
          <w:lang w:eastAsia="ru-RU"/>
        </w:rPr>
        <w:t xml:space="preserve">Принятые антикризисные меры Правительства России позволили в 2015 г. сохранить устойчивость функционирования банковской системы, ограничить динамику сокращения инвестиционной деятельности, сохранить рабочие места в ряде отраслей промышленности, получивших государственную поддержку, смягчить возможное более глубокое падение объемов производства отечественных легковых и грузовых автомобилей, субсидирование отдельных отраслей экономики. Реализация планов по импортозамещению способствовала росту объема производства продукции сельского хозяйства, включая растениеводство и животноводство, химического производства, особенно фармацевтического, производства пищевых продуктов – мяса, сыров и сырных продуктов, готовых кормов для животных. </w:t>
      </w:r>
    </w:p>
    <w:p w:rsidR="006B25EE" w:rsidRPr="006B25EE" w:rsidRDefault="006B25EE" w:rsidP="006B25EE">
      <w:pPr>
        <w:shd w:val="clear" w:color="auto" w:fill="FFFFFF"/>
        <w:spacing w:before="100" w:beforeAutospacing="1" w:after="330" w:line="270" w:lineRule="atLeast"/>
        <w:rPr>
          <w:rFonts w:ascii="PTSans" w:eastAsia="Times New Roman" w:hAnsi="PTSans" w:cs="Times New Roman"/>
          <w:color w:val="666666"/>
          <w:sz w:val="20"/>
          <w:szCs w:val="20"/>
          <w:lang w:eastAsia="ru-RU"/>
        </w:rPr>
      </w:pPr>
      <w:r w:rsidRPr="006B25EE">
        <w:rPr>
          <w:rFonts w:ascii="PTSans" w:eastAsia="Times New Roman" w:hAnsi="PTSans" w:cs="Times New Roman"/>
          <w:color w:val="666666"/>
          <w:sz w:val="20"/>
          <w:szCs w:val="20"/>
          <w:lang w:eastAsia="ru-RU"/>
        </w:rPr>
        <w:t xml:space="preserve">Однако итоги мониторинга Счетной палаты показали, что </w:t>
      </w:r>
      <w:r w:rsidRPr="006B25EE">
        <w:rPr>
          <w:rFonts w:ascii="PTSansBold" w:eastAsia="Times New Roman" w:hAnsi="PTSansBold" w:cs="Times New Roman"/>
          <w:b/>
          <w:bCs/>
          <w:color w:val="666666"/>
          <w:sz w:val="20"/>
          <w:szCs w:val="20"/>
          <w:lang w:eastAsia="ru-RU"/>
        </w:rPr>
        <w:t>отдельные мероприятия антикризисного плана не оказали существенного влияния на показатели социально-экономического развития.</w:t>
      </w:r>
      <w:r w:rsidRPr="006B25EE">
        <w:rPr>
          <w:rFonts w:ascii="PTSans" w:eastAsia="Times New Roman" w:hAnsi="PTSans" w:cs="Times New Roman"/>
          <w:color w:val="666666"/>
          <w:sz w:val="20"/>
          <w:szCs w:val="20"/>
          <w:lang w:eastAsia="ru-RU"/>
        </w:rPr>
        <w:t xml:space="preserve"> Например, не дала ожидаемого эффекта государственная поддержка производителей сельскохозяйственной техники и ряда транспортных средств – снизилось производство зерноуборочных комбайнов, тракторов, грузовых автомобилей и автобусов; индекс потребительских цен на продовольственные и непродовольственные товары, рост платных услуг населению превысили прогнозные показатели, по сравнению с 2014 г. снизилась реальная заработная плата, увеличилась просроченная задолженность по заработной плате, общая численность безработных, возрос уровень бедности.</w:t>
      </w:r>
    </w:p>
    <w:p w:rsidR="006B25EE" w:rsidRPr="006B25EE" w:rsidRDefault="006B25EE" w:rsidP="006B25EE">
      <w:pPr>
        <w:shd w:val="clear" w:color="auto" w:fill="FFFFFF"/>
        <w:spacing w:before="100" w:beforeAutospacing="1" w:after="330" w:line="270" w:lineRule="atLeast"/>
        <w:rPr>
          <w:rFonts w:ascii="PTSans" w:eastAsia="Times New Roman" w:hAnsi="PTSans" w:cs="Times New Roman"/>
          <w:color w:val="666666"/>
          <w:sz w:val="20"/>
          <w:szCs w:val="20"/>
          <w:lang w:eastAsia="ru-RU"/>
        </w:rPr>
      </w:pPr>
      <w:r w:rsidRPr="006B25EE">
        <w:rPr>
          <w:rFonts w:ascii="PTSansBold" w:eastAsia="Times New Roman" w:hAnsi="PTSansBold" w:cs="Times New Roman"/>
          <w:b/>
          <w:bCs/>
          <w:color w:val="666666"/>
          <w:sz w:val="20"/>
          <w:szCs w:val="20"/>
          <w:lang w:eastAsia="ru-RU"/>
        </w:rPr>
        <w:t>Ряд мероприятий Плана оказались невостребованными или широко не применялись в 2015 г.</w:t>
      </w:r>
      <w:r w:rsidRPr="006B25EE">
        <w:rPr>
          <w:rFonts w:ascii="PTSans" w:eastAsia="Times New Roman" w:hAnsi="PTSans" w:cs="Times New Roman"/>
          <w:color w:val="666666"/>
          <w:sz w:val="20"/>
          <w:szCs w:val="20"/>
          <w:lang w:eastAsia="ru-RU"/>
        </w:rPr>
        <w:t xml:space="preserve"> К недостижению результатов, запланированных по отдельным мероприятиям Плана, привело, в том числе позднее принятие нормативных правовых актов, позднее перечисление выделенных из федерального бюджета средств конечным получателям, а также низкое исполнение расходов.</w:t>
      </w:r>
    </w:p>
    <w:p w:rsidR="006B25EE" w:rsidRPr="006B25EE" w:rsidRDefault="006B25EE" w:rsidP="006B25EE">
      <w:pPr>
        <w:shd w:val="clear" w:color="auto" w:fill="FFFFFF"/>
        <w:spacing w:before="100" w:beforeAutospacing="1" w:after="330" w:line="270" w:lineRule="atLeast"/>
        <w:rPr>
          <w:rFonts w:ascii="PTSans" w:eastAsia="Times New Roman" w:hAnsi="PTSans" w:cs="Times New Roman"/>
          <w:color w:val="666666"/>
          <w:sz w:val="20"/>
          <w:szCs w:val="20"/>
          <w:lang w:eastAsia="ru-RU"/>
        </w:rPr>
      </w:pPr>
      <w:r w:rsidRPr="006B25EE">
        <w:rPr>
          <w:rFonts w:ascii="PTSans" w:eastAsia="Times New Roman" w:hAnsi="PTSans" w:cs="Times New Roman"/>
          <w:color w:val="666666"/>
          <w:sz w:val="20"/>
          <w:szCs w:val="20"/>
          <w:lang w:eastAsia="ru-RU"/>
        </w:rPr>
        <w:t>Так, длительная процедура принятия изменений фактически исключила возможность применения в 2015 г. нового механизма государственной поддержки экспорта в виде предоставления государственных гарантий в иностранной валюте российским производителям-экспортерам промышленной продукции (товаров, работ, услуг).</w:t>
      </w:r>
    </w:p>
    <w:p w:rsidR="006B25EE" w:rsidRPr="006B25EE" w:rsidRDefault="006B25EE" w:rsidP="006B25EE">
      <w:pPr>
        <w:shd w:val="clear" w:color="auto" w:fill="FFFFFF"/>
        <w:spacing w:before="100" w:beforeAutospacing="1" w:after="330" w:line="270" w:lineRule="atLeast"/>
        <w:rPr>
          <w:rFonts w:ascii="PTSans" w:eastAsia="Times New Roman" w:hAnsi="PTSans" w:cs="Times New Roman"/>
          <w:color w:val="666666"/>
          <w:sz w:val="20"/>
          <w:szCs w:val="20"/>
          <w:lang w:eastAsia="ru-RU"/>
        </w:rPr>
      </w:pPr>
      <w:r w:rsidRPr="006B25EE">
        <w:rPr>
          <w:rFonts w:ascii="PTSans" w:eastAsia="Times New Roman" w:hAnsi="PTSans" w:cs="Times New Roman"/>
          <w:color w:val="666666"/>
          <w:sz w:val="20"/>
          <w:szCs w:val="20"/>
          <w:lang w:eastAsia="ru-RU"/>
        </w:rPr>
        <w:t xml:space="preserve">Доходы </w:t>
      </w:r>
      <w:r w:rsidRPr="006B25EE">
        <w:rPr>
          <w:rFonts w:ascii="PTSansBold" w:eastAsia="Times New Roman" w:hAnsi="PTSansBold" w:cs="Times New Roman"/>
          <w:b/>
          <w:bCs/>
          <w:color w:val="666666"/>
          <w:sz w:val="20"/>
          <w:szCs w:val="20"/>
          <w:lang w:eastAsia="ru-RU"/>
        </w:rPr>
        <w:t>консолидированных бюджетов субъектов Российской Федерации</w:t>
      </w:r>
      <w:r w:rsidRPr="006B25EE">
        <w:rPr>
          <w:rFonts w:ascii="PTSans" w:eastAsia="Times New Roman" w:hAnsi="PTSans" w:cs="Times New Roman"/>
          <w:color w:val="666666"/>
          <w:sz w:val="20"/>
          <w:szCs w:val="20"/>
          <w:lang w:eastAsia="ru-RU"/>
        </w:rPr>
        <w:t xml:space="preserve"> в 2015 г. составили 9,3 трлн руб., что на 0,4 % меньше прогнозируемого объема. По сравнению с 2014 г. поступления доходов в консолидированные бюджеты субъектов Российской Федерации увеличились на 4,5 %. </w:t>
      </w:r>
    </w:p>
    <w:p w:rsidR="006B25EE" w:rsidRPr="006B25EE" w:rsidRDefault="006B25EE" w:rsidP="006B25EE">
      <w:pPr>
        <w:shd w:val="clear" w:color="auto" w:fill="FFFFFF"/>
        <w:spacing w:before="100" w:beforeAutospacing="1" w:after="330" w:line="270" w:lineRule="atLeast"/>
        <w:rPr>
          <w:rFonts w:ascii="PTSans" w:eastAsia="Times New Roman" w:hAnsi="PTSans" w:cs="Times New Roman"/>
          <w:color w:val="666666"/>
          <w:sz w:val="20"/>
          <w:szCs w:val="20"/>
          <w:lang w:eastAsia="ru-RU"/>
        </w:rPr>
      </w:pPr>
      <w:r w:rsidRPr="006B25EE">
        <w:rPr>
          <w:rFonts w:ascii="PTSans" w:eastAsia="Times New Roman" w:hAnsi="PTSans" w:cs="Times New Roman"/>
          <w:color w:val="666666"/>
          <w:sz w:val="20"/>
          <w:szCs w:val="20"/>
          <w:lang w:eastAsia="ru-RU"/>
        </w:rPr>
        <w:t xml:space="preserve">Расходы консолидированных бюджетов субъектов Российской Федерации за 2015 г. составили 9,48 трлн руб., что на 413,9 млрд руб., или на 4,2% меньше прогнозируемого показателя. По сравнению с 2014 г. расходы консолидированных бюджетов субъектов Российской Федерации увеличились на 1,4%. </w:t>
      </w:r>
    </w:p>
    <w:p w:rsidR="006B25EE" w:rsidRPr="006B25EE" w:rsidRDefault="006B25EE" w:rsidP="006B25EE">
      <w:pPr>
        <w:shd w:val="clear" w:color="auto" w:fill="FFFFFF"/>
        <w:spacing w:before="100" w:beforeAutospacing="1" w:after="330" w:line="270" w:lineRule="atLeast"/>
        <w:rPr>
          <w:rFonts w:ascii="PTSans" w:eastAsia="Times New Roman" w:hAnsi="PTSans" w:cs="Times New Roman"/>
          <w:color w:val="666666"/>
          <w:sz w:val="20"/>
          <w:szCs w:val="20"/>
          <w:lang w:eastAsia="ru-RU"/>
        </w:rPr>
      </w:pPr>
      <w:r w:rsidRPr="006B25EE">
        <w:rPr>
          <w:rFonts w:ascii="PTSans" w:eastAsia="Times New Roman" w:hAnsi="PTSans" w:cs="Times New Roman"/>
          <w:color w:val="666666"/>
          <w:sz w:val="20"/>
          <w:szCs w:val="20"/>
          <w:lang w:eastAsia="ru-RU"/>
        </w:rPr>
        <w:t>В связи с неисполнением расходов дефицит консолидированных бюджетов субъектов Российской Федерации в 2015 г., уменьшился по сравнению с прогнозным значением в 3,2 раза и составил 171,6 млрд руб. По сравнению с 2014 г. дефицит консолидированных бюджетов субъектов Российской Федерации уменьшился в 2,6 раза. Количество регионов России, консолидированные бюджеты которых исполнены с дефицитом, в 2015 г. увеличилось до 76 регионов (в 2014 г. – 74). Количество субъектов Российской Федерации, исполнивших консолидированный бюджет с профицитом, уменьшилось до 9 регионов (в 2014 г. – 11).</w:t>
      </w:r>
    </w:p>
    <w:p w:rsidR="006B25EE" w:rsidRPr="006B25EE" w:rsidRDefault="006B25EE" w:rsidP="006B25EE">
      <w:pPr>
        <w:shd w:val="clear" w:color="auto" w:fill="FFFFFF"/>
        <w:spacing w:before="100" w:beforeAutospacing="1" w:after="330" w:line="270" w:lineRule="atLeast"/>
        <w:rPr>
          <w:rFonts w:ascii="PTSans" w:eastAsia="Times New Roman" w:hAnsi="PTSans" w:cs="Times New Roman"/>
          <w:color w:val="666666"/>
          <w:sz w:val="20"/>
          <w:szCs w:val="20"/>
          <w:lang w:eastAsia="ru-RU"/>
        </w:rPr>
      </w:pPr>
      <w:r w:rsidRPr="006B25EE">
        <w:rPr>
          <w:rFonts w:ascii="PTSans" w:eastAsia="Times New Roman" w:hAnsi="PTSans" w:cs="Times New Roman"/>
          <w:color w:val="666666"/>
          <w:sz w:val="20"/>
          <w:szCs w:val="20"/>
          <w:lang w:eastAsia="ru-RU"/>
        </w:rPr>
        <w:t>В 2015 г. продолжился рост долговой нагрузки на бюджеты субъектов Российской Федерации, что свидетельствует об имеющихся проблемах в экономике регионов, формировании и исполнении их бюджетов. Данное обстоятельство может осложнить в дальнейшем социально-экономическое развитие и модернизацию экономики регионов.</w:t>
      </w:r>
    </w:p>
    <w:p w:rsidR="006B25EE" w:rsidRPr="006B25EE" w:rsidRDefault="006B25EE" w:rsidP="006B25EE">
      <w:pPr>
        <w:shd w:val="clear" w:color="auto" w:fill="FFFFFF"/>
        <w:spacing w:before="100" w:beforeAutospacing="1" w:after="330" w:line="270" w:lineRule="atLeast"/>
        <w:rPr>
          <w:rFonts w:ascii="PTSans" w:eastAsia="Times New Roman" w:hAnsi="PTSans" w:cs="Times New Roman"/>
          <w:color w:val="666666"/>
          <w:sz w:val="20"/>
          <w:szCs w:val="20"/>
          <w:lang w:eastAsia="ru-RU"/>
        </w:rPr>
      </w:pPr>
      <w:r w:rsidRPr="006B25EE">
        <w:rPr>
          <w:rFonts w:ascii="PTSans" w:eastAsia="Times New Roman" w:hAnsi="PTSans" w:cs="Times New Roman"/>
          <w:color w:val="666666"/>
          <w:sz w:val="20"/>
          <w:szCs w:val="20"/>
          <w:lang w:eastAsia="ru-RU"/>
        </w:rPr>
        <w:t xml:space="preserve">Объем государственного долга субъектов Российской Федерации и муниципальных образований по итогам 2015 г. составил 2,66 трлн руб., увеличившись за год на 10,7%. В частности, объем государственного долга субъектов Российской Федерации составил 2,3 трлн руб. (рост на 11%), объем государственного долга муниципальных образований составил 341,3 млрд руб. (рост 8,9%). Расходы консолидированных бюджетов субъектов Российской Федерации на обслуживание государственного и муниципального долга составили 149 млрд руб. (рост - 22,4%). В 6 регионах эти расходы выросли более чем 2 раза. </w:t>
      </w:r>
    </w:p>
    <w:p w:rsidR="006B25EE" w:rsidRPr="006B25EE" w:rsidRDefault="006B25EE" w:rsidP="006B25EE">
      <w:pPr>
        <w:shd w:val="clear" w:color="auto" w:fill="FFFFFF"/>
        <w:spacing w:before="100" w:beforeAutospacing="1" w:after="330" w:line="270" w:lineRule="atLeast"/>
        <w:rPr>
          <w:rFonts w:ascii="PTSans" w:eastAsia="Times New Roman" w:hAnsi="PTSans" w:cs="Times New Roman"/>
          <w:color w:val="666666"/>
          <w:sz w:val="20"/>
          <w:szCs w:val="20"/>
          <w:lang w:eastAsia="ru-RU"/>
        </w:rPr>
      </w:pPr>
      <w:r w:rsidRPr="006B25EE">
        <w:rPr>
          <w:rFonts w:ascii="PTSans" w:eastAsia="Times New Roman" w:hAnsi="PTSans" w:cs="Times New Roman"/>
          <w:color w:val="666666"/>
          <w:sz w:val="20"/>
          <w:szCs w:val="20"/>
          <w:lang w:eastAsia="ru-RU"/>
        </w:rPr>
        <w:t xml:space="preserve">В 2015 г. отмечены изменения в структуре государственного долга субъектов Российской Федерации. Так, удельный вес бюджетных кредитов, предоставленных бюджетам субъектов Российской Федерации от других бюджетов бюджетной системы Российской Федерации, увеличился на 3,9 процентного пункта и составил 34,9% (808,7 млрд руб.). </w:t>
      </w:r>
    </w:p>
    <w:p w:rsidR="006B25EE" w:rsidRPr="006B25EE" w:rsidRDefault="006B25EE" w:rsidP="006B25EE">
      <w:pPr>
        <w:shd w:val="clear" w:color="auto" w:fill="FFFFFF"/>
        <w:spacing w:before="100" w:beforeAutospacing="1" w:after="330" w:line="270" w:lineRule="atLeast"/>
        <w:rPr>
          <w:rFonts w:ascii="PTSans" w:eastAsia="Times New Roman" w:hAnsi="PTSans" w:cs="Times New Roman"/>
          <w:color w:val="666666"/>
          <w:sz w:val="20"/>
          <w:szCs w:val="20"/>
          <w:lang w:eastAsia="ru-RU"/>
        </w:rPr>
      </w:pPr>
      <w:r w:rsidRPr="006B25EE">
        <w:rPr>
          <w:rFonts w:ascii="PTSans" w:eastAsia="Times New Roman" w:hAnsi="PTSans" w:cs="Times New Roman"/>
          <w:color w:val="666666"/>
          <w:sz w:val="20"/>
          <w:szCs w:val="20"/>
          <w:lang w:eastAsia="ru-RU"/>
        </w:rPr>
        <w:t>Сохраняется значительная зависимость региональных бюджетов от предоставления финансовой помощи из федерального бюджета. Доходная часть бюджетов 9 регионов (Республика Ингушетия, Чеченская Республика, Республика Алтай, Республика Тыва, Республика Крым, Республика Дагестан, Карачаево-Черкесская Республика, Камчатский край, г. Севастополь) сформирована за счет межбюджетных трансфертов на 60 и более процентов (в 2014 г. – 9 регионов). Кроме того, доля межбюджетных трансфертов в бюджетах 12 регионов составляет свыше 40%.</w:t>
      </w:r>
    </w:p>
    <w:p w:rsidR="006B25EE" w:rsidRPr="006B25EE" w:rsidRDefault="006B25EE" w:rsidP="006B25EE">
      <w:pPr>
        <w:shd w:val="clear" w:color="auto" w:fill="FFFFFF"/>
        <w:spacing w:before="100" w:beforeAutospacing="1" w:after="330" w:line="270" w:lineRule="atLeast"/>
        <w:rPr>
          <w:rFonts w:ascii="PTSans" w:eastAsia="Times New Roman" w:hAnsi="PTSans" w:cs="Times New Roman"/>
          <w:color w:val="666666"/>
          <w:sz w:val="20"/>
          <w:szCs w:val="20"/>
          <w:lang w:eastAsia="ru-RU"/>
        </w:rPr>
      </w:pPr>
      <w:r w:rsidRPr="006B25EE">
        <w:rPr>
          <w:rFonts w:ascii="PTSansBold" w:eastAsia="Times New Roman" w:hAnsi="PTSansBold" w:cs="Times New Roman"/>
          <w:b/>
          <w:bCs/>
          <w:color w:val="666666"/>
          <w:sz w:val="20"/>
          <w:szCs w:val="20"/>
          <w:lang w:eastAsia="ru-RU"/>
        </w:rPr>
        <w:t>Общая сумма нарушений</w:t>
      </w:r>
      <w:r w:rsidRPr="006B25EE">
        <w:rPr>
          <w:rFonts w:ascii="PTSans" w:eastAsia="Times New Roman" w:hAnsi="PTSans" w:cs="Times New Roman"/>
          <w:color w:val="666666"/>
          <w:sz w:val="20"/>
          <w:szCs w:val="20"/>
          <w:lang w:eastAsia="ru-RU"/>
        </w:rPr>
        <w:t xml:space="preserve">, выявленных Счетной палатой по результатам контрольных мероприятий по проверке исполнения Федерального закона </w:t>
      </w:r>
      <w:r w:rsidRPr="006B25EE">
        <w:rPr>
          <w:rFonts w:ascii="PTSans" w:eastAsia="Times New Roman" w:hAnsi="PTSans" w:cs="Times New Roman"/>
          <w:color w:val="666666"/>
          <w:sz w:val="20"/>
          <w:szCs w:val="20"/>
          <w:lang w:eastAsia="ru-RU"/>
        </w:rPr>
        <w:br/>
        <w:t>№ 384-ФЗ (с изменениями) и бюджетной отчетности за 2015 г., а также тематических проверок исполнения федерального бюджета за 2015 г. по состоянию на 26 августа 2016 г., составила 544,2 млрд руб. и увеличилась в 2,1 раза по сравнению в 2014 г. В том числе выявлены факты нарушения ведения бюджетного (бухгалтерского) учета и недостоверности годовой бюджетной (бухгалтерской) отчетности главных распорядителей средств федерального бюджета. По результатам проверок Счетной палаты бюджетная отчетность 14 главных распорядителей и отчет об исполнении федерального бюджета за 2015 г. были скорректированы.</w:t>
      </w:r>
    </w:p>
    <w:p w:rsidR="006B25EE" w:rsidRPr="006B25EE" w:rsidRDefault="006B25EE" w:rsidP="006B25EE">
      <w:pPr>
        <w:shd w:val="clear" w:color="auto" w:fill="FFFFFF"/>
        <w:spacing w:before="100" w:beforeAutospacing="1" w:after="330" w:line="270" w:lineRule="atLeast"/>
        <w:rPr>
          <w:rFonts w:ascii="PTSans" w:eastAsia="Times New Roman" w:hAnsi="PTSans" w:cs="Times New Roman"/>
          <w:color w:val="666666"/>
          <w:sz w:val="20"/>
          <w:szCs w:val="20"/>
          <w:lang w:eastAsia="ru-RU"/>
        </w:rPr>
      </w:pPr>
      <w:r w:rsidRPr="006B25EE">
        <w:rPr>
          <w:rFonts w:ascii="PTSansBold" w:eastAsia="Times New Roman" w:hAnsi="PTSansBold" w:cs="Times New Roman"/>
          <w:b/>
          <w:bCs/>
          <w:color w:val="666666"/>
          <w:sz w:val="20"/>
          <w:szCs w:val="20"/>
          <w:lang w:eastAsia="ru-RU"/>
        </w:rPr>
        <w:t>ПФР</w:t>
      </w:r>
    </w:p>
    <w:p w:rsidR="006B25EE" w:rsidRPr="006B25EE" w:rsidRDefault="006B25EE" w:rsidP="006B25EE">
      <w:pPr>
        <w:shd w:val="clear" w:color="auto" w:fill="FFFFFF"/>
        <w:spacing w:before="100" w:beforeAutospacing="1" w:after="330" w:line="270" w:lineRule="atLeast"/>
        <w:rPr>
          <w:rFonts w:ascii="PTSans" w:eastAsia="Times New Roman" w:hAnsi="PTSans" w:cs="Times New Roman"/>
          <w:color w:val="666666"/>
          <w:sz w:val="20"/>
          <w:szCs w:val="20"/>
          <w:lang w:eastAsia="ru-RU"/>
        </w:rPr>
      </w:pPr>
      <w:r w:rsidRPr="006B25EE">
        <w:rPr>
          <w:rFonts w:ascii="PTSans" w:eastAsia="Times New Roman" w:hAnsi="PTSans" w:cs="Times New Roman"/>
          <w:color w:val="666666"/>
          <w:sz w:val="20"/>
          <w:szCs w:val="20"/>
          <w:lang w:eastAsia="ru-RU"/>
        </w:rPr>
        <w:t xml:space="preserve">Согласно </w:t>
      </w:r>
      <w:hyperlink r:id="rId8" w:history="1">
        <w:r w:rsidRPr="006B25EE">
          <w:rPr>
            <w:rFonts w:ascii="PTSans" w:eastAsia="Times New Roman" w:hAnsi="PTSans" w:cs="Times New Roman"/>
            <w:color w:val="18A4C1"/>
            <w:sz w:val="20"/>
            <w:szCs w:val="20"/>
            <w:u w:val="single"/>
            <w:lang w:eastAsia="ru-RU"/>
          </w:rPr>
          <w:t>Заключению</w:t>
        </w:r>
      </w:hyperlink>
      <w:r w:rsidRPr="006B25EE">
        <w:rPr>
          <w:rFonts w:ascii="PTSans" w:eastAsia="Times New Roman" w:hAnsi="PTSans" w:cs="Times New Roman"/>
          <w:color w:val="666666"/>
          <w:sz w:val="20"/>
          <w:szCs w:val="20"/>
          <w:lang w:eastAsia="ru-RU"/>
        </w:rPr>
        <w:t xml:space="preserve"> Счетной палаты, в 2015 г. бюджет Пенсионного фонда Российской Федерации (далее – ПФР) по доходам исполнен в объеме 7,13 трлн руб., или 100,2% к показателю, утвержденному Законом о бюджете ПФР. Расходы составили 7,67 трлн руб. (98,7%). Бюджет Фонда за 2015 г. исполнен с дефицитом в объеме (-) 543,6 млрд руб., что на 12,7% меньше прогнозного показателя. Обеспеченность финансирования страховой пенсии в 2015 г. составила 66,9% (в 2014 г. – 73,7%).</w:t>
      </w:r>
    </w:p>
    <w:p w:rsidR="006B25EE" w:rsidRPr="006B25EE" w:rsidRDefault="006B25EE" w:rsidP="006B25EE">
      <w:pPr>
        <w:shd w:val="clear" w:color="auto" w:fill="FFFFFF"/>
        <w:spacing w:before="100" w:beforeAutospacing="1" w:after="330" w:line="270" w:lineRule="atLeast"/>
        <w:rPr>
          <w:rFonts w:ascii="PTSans" w:eastAsia="Times New Roman" w:hAnsi="PTSans" w:cs="Times New Roman"/>
          <w:color w:val="666666"/>
          <w:sz w:val="20"/>
          <w:szCs w:val="20"/>
          <w:lang w:eastAsia="ru-RU"/>
        </w:rPr>
      </w:pPr>
      <w:r w:rsidRPr="006B25EE">
        <w:rPr>
          <w:rFonts w:ascii="PTSans" w:eastAsia="Times New Roman" w:hAnsi="PTSans" w:cs="Times New Roman"/>
          <w:color w:val="666666"/>
          <w:sz w:val="20"/>
          <w:szCs w:val="20"/>
          <w:lang w:eastAsia="ru-RU"/>
        </w:rPr>
        <w:t xml:space="preserve">Из федерального бюджета в бюджет ПФР поступило 3 трлн руб., из Фонда национального благосостояния на обеспечение софинансирования добровольных пенсионных накоплений граждан Российской Федерации – 9,4 млрд руб. </w:t>
      </w:r>
    </w:p>
    <w:p w:rsidR="006B25EE" w:rsidRPr="006B25EE" w:rsidRDefault="006B25EE" w:rsidP="006B25EE">
      <w:pPr>
        <w:shd w:val="clear" w:color="auto" w:fill="FFFFFF"/>
        <w:spacing w:before="100" w:beforeAutospacing="1" w:after="330" w:line="270" w:lineRule="atLeast"/>
        <w:rPr>
          <w:rFonts w:ascii="PTSans" w:eastAsia="Times New Roman" w:hAnsi="PTSans" w:cs="Times New Roman"/>
          <w:color w:val="666666"/>
          <w:sz w:val="20"/>
          <w:szCs w:val="20"/>
          <w:lang w:eastAsia="ru-RU"/>
        </w:rPr>
      </w:pPr>
      <w:r w:rsidRPr="006B25EE">
        <w:rPr>
          <w:rFonts w:ascii="PTSans" w:eastAsia="Times New Roman" w:hAnsi="PTSans" w:cs="Times New Roman"/>
          <w:color w:val="666666"/>
          <w:sz w:val="20"/>
          <w:szCs w:val="20"/>
          <w:lang w:eastAsia="ru-RU"/>
        </w:rPr>
        <w:t>Остаток средств бюджета ПФР по состоянию на 1 января 2016 г. составил 219,5 млрд руб. и снизился на 61,7% по сравнению с 1 января 2015 г. Остатки средств федерального бюджета в течение 2015 г. увеличились на 11,9% (с 90,7 млрд руб. до 101,6 млрд руб.).</w:t>
      </w:r>
    </w:p>
    <w:p w:rsidR="006B25EE" w:rsidRPr="006B25EE" w:rsidRDefault="006B25EE" w:rsidP="006B25EE">
      <w:pPr>
        <w:shd w:val="clear" w:color="auto" w:fill="FFFFFF"/>
        <w:spacing w:before="100" w:beforeAutospacing="1" w:after="330" w:line="270" w:lineRule="atLeast"/>
        <w:rPr>
          <w:rFonts w:ascii="PTSans" w:eastAsia="Times New Roman" w:hAnsi="PTSans" w:cs="Times New Roman"/>
          <w:color w:val="666666"/>
          <w:sz w:val="20"/>
          <w:szCs w:val="20"/>
          <w:lang w:eastAsia="ru-RU"/>
        </w:rPr>
      </w:pPr>
      <w:r w:rsidRPr="006B25EE">
        <w:rPr>
          <w:rFonts w:ascii="PTSans" w:eastAsia="Times New Roman" w:hAnsi="PTSans" w:cs="Times New Roman"/>
          <w:color w:val="666666"/>
          <w:sz w:val="20"/>
          <w:szCs w:val="20"/>
          <w:lang w:eastAsia="ru-RU"/>
        </w:rPr>
        <w:t>Как показала проверка, до настоящего времени не обеспечен учет средств выплатного резерва, средств пенсионных накоплений застрахованных лиц, которым установлена срочная пенсионная выплата, и резерва ПФР по обязательному пенсионному страхованию, хотя это предусмотрено федеральными законами № 111-ФЗ «Об инвестировании средств для финансирования накопительной пенсии в Российской Федерации» и № 360-ФЗ «О порядке финансирования выплат за счет средств пенсионных накоплений». Данный вопрос требует законодательного урегулирования. Подготовленный ПФР законопроект, направленный на урегулирование данной ситуации, находится на рассмотрении в Минтруде России с 22 декабря 2015 г.</w:t>
      </w:r>
    </w:p>
    <w:p w:rsidR="006B25EE" w:rsidRPr="006B25EE" w:rsidRDefault="006B25EE" w:rsidP="006B25EE">
      <w:pPr>
        <w:shd w:val="clear" w:color="auto" w:fill="FFFFFF"/>
        <w:spacing w:before="100" w:beforeAutospacing="1" w:after="330" w:line="270" w:lineRule="atLeast"/>
        <w:rPr>
          <w:rFonts w:ascii="PTSans" w:eastAsia="Times New Roman" w:hAnsi="PTSans" w:cs="Times New Roman"/>
          <w:color w:val="666666"/>
          <w:sz w:val="20"/>
          <w:szCs w:val="20"/>
          <w:lang w:eastAsia="ru-RU"/>
        </w:rPr>
      </w:pPr>
      <w:r w:rsidRPr="006B25EE">
        <w:rPr>
          <w:rFonts w:ascii="PTSans" w:eastAsia="Times New Roman" w:hAnsi="PTSans" w:cs="Times New Roman"/>
          <w:color w:val="666666"/>
          <w:sz w:val="20"/>
          <w:szCs w:val="20"/>
          <w:lang w:eastAsia="ru-RU"/>
        </w:rPr>
        <w:t>В соответствии с Федеральным законом № 426-ФЗ «О специальной оценке условий труда» с 1 января 2014 г. взамен дополнительных тарифов, установленных Федеральным законом № 212-ФЗ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применяются дополнительные тарифы страховых взносов в зависимости от установленного класса по результатам специальной оценки условий труда. Несмотря на высказанные ранее предложения Счетной палаты Российской Федерации о необходимости применения в доходной части бюджета ПФР соответствующих показателей, соответствующие коды бюджетной классификации до сих пор отсутствуют. Этот факт негативно отражается на планировании доходной части бюджета ПФР, поскольку делает невозможным определение численности страхователей, перешедших на оплату тарифов с учетом класса условий труда по результатам специальной оценки и объемов уплаченных ими взносов.</w:t>
      </w:r>
    </w:p>
    <w:p w:rsidR="006B25EE" w:rsidRPr="006B25EE" w:rsidRDefault="006B25EE" w:rsidP="006B25EE">
      <w:pPr>
        <w:shd w:val="clear" w:color="auto" w:fill="FFFFFF"/>
        <w:spacing w:before="100" w:beforeAutospacing="1" w:after="330" w:line="270" w:lineRule="atLeast"/>
        <w:rPr>
          <w:rFonts w:ascii="PTSans" w:eastAsia="Times New Roman" w:hAnsi="PTSans" w:cs="Times New Roman"/>
          <w:color w:val="666666"/>
          <w:sz w:val="20"/>
          <w:szCs w:val="20"/>
          <w:lang w:eastAsia="ru-RU"/>
        </w:rPr>
      </w:pPr>
      <w:r w:rsidRPr="006B25EE">
        <w:rPr>
          <w:rFonts w:ascii="PTSans" w:eastAsia="Times New Roman" w:hAnsi="PTSans" w:cs="Times New Roman"/>
          <w:color w:val="666666"/>
          <w:sz w:val="20"/>
          <w:szCs w:val="20"/>
          <w:lang w:eastAsia="ru-RU"/>
        </w:rPr>
        <w:t>Страховые взносы по пониженным тарифам в 2015 г. уплачивали 172,42 тыс. страхователей (4,6% от общего числа). На компенсацию выпадающих доходов бюджета ПФР в связи с установлением пониженных тарифов страховых взносов из федерального бюджета выделено 342,9 млрд руб. Общий объем задолженности по страхователям, применяющим пониженные тарифы, на конец 2015 г., составил 4,7 млрд руб. За 2015 г. задолженность данных страхователей увеличилась на 36% (за 2014 г. – на 58,1%). Таким образом, применение указанной меры государственной поддержки страхователей не оказывает положительного влияния на уплату ими страховых взносов.</w:t>
      </w:r>
    </w:p>
    <w:p w:rsidR="006B25EE" w:rsidRPr="006B25EE" w:rsidRDefault="006B25EE" w:rsidP="006B25EE">
      <w:pPr>
        <w:shd w:val="clear" w:color="auto" w:fill="FFFFFF"/>
        <w:spacing w:before="100" w:beforeAutospacing="1" w:after="330" w:line="270" w:lineRule="atLeast"/>
        <w:rPr>
          <w:rFonts w:ascii="PTSans" w:eastAsia="Times New Roman" w:hAnsi="PTSans" w:cs="Times New Roman"/>
          <w:color w:val="666666"/>
          <w:sz w:val="20"/>
          <w:szCs w:val="20"/>
          <w:lang w:eastAsia="ru-RU"/>
        </w:rPr>
      </w:pPr>
      <w:r w:rsidRPr="006B25EE">
        <w:rPr>
          <w:rFonts w:ascii="PTSans" w:eastAsia="Times New Roman" w:hAnsi="PTSans" w:cs="Times New Roman"/>
          <w:color w:val="666666"/>
          <w:sz w:val="20"/>
          <w:szCs w:val="20"/>
          <w:lang w:eastAsia="ru-RU"/>
        </w:rPr>
        <w:t>Объем задолженности по взносам на обязательное пенсионное страхование за 2015 г. вырос на 37,2% и составил 259,6 млрд руб. Структура задолженности по состоянию на 1 января 2016 г. сложилась следующим образом: задолженность, возможная к взысканию составила 54,1% от общей суммы задолженности, задолженность невозможная к взысканию – 3,2%, задолженность плательщиков, находящихся на различных стадиях банкротства, – 42,7%.</w:t>
      </w:r>
    </w:p>
    <w:p w:rsidR="006B25EE" w:rsidRPr="006B25EE" w:rsidRDefault="006B25EE" w:rsidP="006B25EE">
      <w:pPr>
        <w:shd w:val="clear" w:color="auto" w:fill="FFFFFF"/>
        <w:spacing w:before="100" w:beforeAutospacing="1" w:after="330" w:line="270" w:lineRule="atLeast"/>
        <w:rPr>
          <w:rFonts w:ascii="PTSans" w:eastAsia="Times New Roman" w:hAnsi="PTSans" w:cs="Times New Roman"/>
          <w:color w:val="666666"/>
          <w:sz w:val="20"/>
          <w:szCs w:val="20"/>
          <w:lang w:eastAsia="ru-RU"/>
        </w:rPr>
      </w:pPr>
      <w:r w:rsidRPr="006B25EE">
        <w:rPr>
          <w:rFonts w:ascii="PTSans" w:eastAsia="Times New Roman" w:hAnsi="PTSans" w:cs="Times New Roman"/>
          <w:color w:val="666666"/>
          <w:sz w:val="20"/>
          <w:szCs w:val="20"/>
          <w:lang w:eastAsia="ru-RU"/>
        </w:rPr>
        <w:t>Количество предприятий, находящихся в процедуре банкротства, увеличилось за 2015 г. на 11,1% (с 25 тыс. до 28 тыс.), задолженность по страховым взносам на ОПС указанных предприятий возросла на 30,1%, и составила 80 млрд руб.</w:t>
      </w:r>
    </w:p>
    <w:p w:rsidR="006B25EE" w:rsidRPr="006B25EE" w:rsidRDefault="006B25EE" w:rsidP="006B25EE">
      <w:pPr>
        <w:shd w:val="clear" w:color="auto" w:fill="FFFFFF"/>
        <w:spacing w:before="100" w:beforeAutospacing="1" w:after="330" w:line="270" w:lineRule="atLeast"/>
        <w:rPr>
          <w:rFonts w:ascii="PTSans" w:eastAsia="Times New Roman" w:hAnsi="PTSans" w:cs="Times New Roman"/>
          <w:color w:val="666666"/>
          <w:sz w:val="20"/>
          <w:szCs w:val="20"/>
          <w:lang w:eastAsia="ru-RU"/>
        </w:rPr>
      </w:pPr>
      <w:r w:rsidRPr="006B25EE">
        <w:rPr>
          <w:rFonts w:ascii="PTSans" w:eastAsia="Times New Roman" w:hAnsi="PTSans" w:cs="Times New Roman"/>
          <w:color w:val="666666"/>
          <w:sz w:val="20"/>
          <w:szCs w:val="20"/>
          <w:lang w:eastAsia="ru-RU"/>
        </w:rPr>
        <w:t>Безнадежная к взысканию задолженность по состоянию на 1 января 2016 г. составила 6 млрд руб. (снизилась на 7,1%), текущая задолженность, по которой проводится взыскание – 1,6 млрд руб. (увеличилась в 2 раза).</w:t>
      </w:r>
    </w:p>
    <w:p w:rsidR="006B25EE" w:rsidRPr="006B25EE" w:rsidRDefault="006B25EE" w:rsidP="006B25EE">
      <w:pPr>
        <w:shd w:val="clear" w:color="auto" w:fill="FFFFFF"/>
        <w:spacing w:before="100" w:beforeAutospacing="1" w:after="330" w:line="270" w:lineRule="atLeast"/>
        <w:rPr>
          <w:rFonts w:ascii="PTSans" w:eastAsia="Times New Roman" w:hAnsi="PTSans" w:cs="Times New Roman"/>
          <w:color w:val="666666"/>
          <w:sz w:val="20"/>
          <w:szCs w:val="20"/>
          <w:lang w:eastAsia="ru-RU"/>
        </w:rPr>
      </w:pPr>
      <w:r w:rsidRPr="006B25EE">
        <w:rPr>
          <w:rFonts w:ascii="PTSans" w:eastAsia="Times New Roman" w:hAnsi="PTSans" w:cs="Times New Roman"/>
          <w:color w:val="666666"/>
          <w:sz w:val="20"/>
          <w:szCs w:val="20"/>
          <w:lang w:eastAsia="ru-RU"/>
        </w:rPr>
        <w:t xml:space="preserve">ПФР и его территориальными органами не обеспечивался контроль за начислением и уплатой страховых взносов организациями по управлению правами на коллективной основе, осуществляющими выплаты в пользу авторов произведений. </w:t>
      </w:r>
    </w:p>
    <w:p w:rsidR="006B25EE" w:rsidRPr="006B25EE" w:rsidRDefault="006B25EE" w:rsidP="006B25EE">
      <w:pPr>
        <w:shd w:val="clear" w:color="auto" w:fill="FFFFFF"/>
        <w:spacing w:before="100" w:beforeAutospacing="1" w:after="330" w:line="270" w:lineRule="atLeast"/>
        <w:rPr>
          <w:rFonts w:ascii="PTSans" w:eastAsia="Times New Roman" w:hAnsi="PTSans" w:cs="Times New Roman"/>
          <w:color w:val="666666"/>
          <w:sz w:val="20"/>
          <w:szCs w:val="20"/>
          <w:lang w:eastAsia="ru-RU"/>
        </w:rPr>
      </w:pPr>
      <w:r w:rsidRPr="006B25EE">
        <w:rPr>
          <w:rFonts w:ascii="PTSans" w:eastAsia="Times New Roman" w:hAnsi="PTSans" w:cs="Times New Roman"/>
          <w:color w:val="666666"/>
          <w:sz w:val="20"/>
          <w:szCs w:val="20"/>
          <w:lang w:eastAsia="ru-RU"/>
        </w:rPr>
        <w:t>Указанными организациями не производится начисление и уплата страховых взносов в ПФР с сумм вознаграждений по договорам, заключенным с пользователями, что является основанием для применения к ним штрафных санкций, предусмотренных Законом о страховых взносах. Однако ПФР соответствующих выездных проверок данных организаций не проводил и штрафные санкции не налагал.</w:t>
      </w:r>
    </w:p>
    <w:p w:rsidR="006B25EE" w:rsidRPr="006B25EE" w:rsidRDefault="006B25EE" w:rsidP="006B25EE">
      <w:pPr>
        <w:shd w:val="clear" w:color="auto" w:fill="FFFFFF"/>
        <w:spacing w:before="100" w:beforeAutospacing="1" w:after="330" w:line="270" w:lineRule="atLeast"/>
        <w:rPr>
          <w:rFonts w:ascii="PTSans" w:eastAsia="Times New Roman" w:hAnsi="PTSans" w:cs="Times New Roman"/>
          <w:color w:val="666666"/>
          <w:sz w:val="20"/>
          <w:szCs w:val="20"/>
          <w:lang w:eastAsia="ru-RU"/>
        </w:rPr>
      </w:pPr>
      <w:r w:rsidRPr="006B25EE">
        <w:rPr>
          <w:rFonts w:ascii="PTSans" w:eastAsia="Times New Roman" w:hAnsi="PTSans" w:cs="Times New Roman"/>
          <w:color w:val="666666"/>
          <w:sz w:val="20"/>
          <w:szCs w:val="20"/>
          <w:lang w:eastAsia="ru-RU"/>
        </w:rPr>
        <w:t>ПФР практически не реализована возможность предоставления в электронном виде услуги по приему от застрахованных лиц заявлений о выборе инвестиционного портфеля (управляющей компании) или о переходе в негосударственный пенсионный фонд для передачи средств пенсионных накоплений. За весь период функционирования указанной услуги через Портал государственных услуг было подано не более 500 заявлений, из них в 2015 г. – 201 заявление из 13 млн поданных. Достижение показателя «Доля граждан, использующих механизм получения государственных и муниципальных услуг в электронной форме» в 2015 г. ПФР достигнут в объеме 23,7% вместо установленных 40%.</w:t>
      </w:r>
    </w:p>
    <w:p w:rsidR="006B25EE" w:rsidRPr="006B25EE" w:rsidRDefault="006B25EE" w:rsidP="006B25EE">
      <w:pPr>
        <w:shd w:val="clear" w:color="auto" w:fill="FFFFFF"/>
        <w:spacing w:before="100" w:beforeAutospacing="1" w:after="330" w:line="270" w:lineRule="atLeast"/>
        <w:rPr>
          <w:rFonts w:ascii="PTSans" w:eastAsia="Times New Roman" w:hAnsi="PTSans" w:cs="Times New Roman"/>
          <w:color w:val="666666"/>
          <w:sz w:val="20"/>
          <w:szCs w:val="20"/>
          <w:lang w:eastAsia="ru-RU"/>
        </w:rPr>
      </w:pPr>
      <w:r w:rsidRPr="006B25EE">
        <w:rPr>
          <w:rFonts w:ascii="PTSans" w:eastAsia="Times New Roman" w:hAnsi="PTSans" w:cs="Times New Roman"/>
          <w:color w:val="666666"/>
          <w:sz w:val="20"/>
          <w:szCs w:val="20"/>
          <w:lang w:eastAsia="ru-RU"/>
        </w:rPr>
        <w:t>Как показала проверка, в 2015 г. ПФР неоднократно нарушались нормативные правовые акты Российской Федерации, определяющие порядок и условия формирования накопительной пенсии:</w:t>
      </w:r>
    </w:p>
    <w:p w:rsidR="006B25EE" w:rsidRPr="006B25EE" w:rsidRDefault="006B25EE" w:rsidP="006B25EE">
      <w:pPr>
        <w:shd w:val="clear" w:color="auto" w:fill="FFFFFF"/>
        <w:spacing w:before="100" w:beforeAutospacing="1" w:after="330" w:line="270" w:lineRule="atLeast"/>
        <w:rPr>
          <w:rFonts w:ascii="PTSans" w:eastAsia="Times New Roman" w:hAnsi="PTSans" w:cs="Times New Roman"/>
          <w:color w:val="666666"/>
          <w:sz w:val="20"/>
          <w:szCs w:val="20"/>
          <w:lang w:eastAsia="ru-RU"/>
        </w:rPr>
      </w:pPr>
      <w:r w:rsidRPr="006B25EE">
        <w:rPr>
          <w:rFonts w:ascii="PTSans" w:eastAsia="Times New Roman" w:hAnsi="PTSans" w:cs="Times New Roman"/>
          <w:color w:val="666666"/>
          <w:sz w:val="20"/>
          <w:szCs w:val="20"/>
          <w:lang w:eastAsia="ru-RU"/>
        </w:rPr>
        <w:t>с нарушением установленных сроков осуществлялась выплата пенсионных накоплений правопреемникам умерших застрахованных лиц;</w:t>
      </w:r>
    </w:p>
    <w:p w:rsidR="006B25EE" w:rsidRPr="006B25EE" w:rsidRDefault="006B25EE" w:rsidP="006B25EE">
      <w:pPr>
        <w:shd w:val="clear" w:color="auto" w:fill="FFFFFF"/>
        <w:spacing w:before="100" w:beforeAutospacing="1" w:after="330" w:line="270" w:lineRule="atLeast"/>
        <w:rPr>
          <w:rFonts w:ascii="PTSans" w:eastAsia="Times New Roman" w:hAnsi="PTSans" w:cs="Times New Roman"/>
          <w:color w:val="666666"/>
          <w:sz w:val="20"/>
          <w:szCs w:val="20"/>
          <w:lang w:eastAsia="ru-RU"/>
        </w:rPr>
      </w:pPr>
      <w:r w:rsidRPr="006B25EE">
        <w:rPr>
          <w:rFonts w:ascii="PTSans" w:eastAsia="Times New Roman" w:hAnsi="PTSans" w:cs="Times New Roman"/>
          <w:color w:val="666666"/>
          <w:sz w:val="20"/>
          <w:szCs w:val="20"/>
          <w:lang w:eastAsia="ru-RU"/>
        </w:rPr>
        <w:t>в специальной части индивидуального лицевого счета умершего застрахованного лица не указывались сведения о правопреемниках умершего застрахованного лица и выплаченных им средств пенсионных накоплений;</w:t>
      </w:r>
    </w:p>
    <w:p w:rsidR="006B25EE" w:rsidRPr="006B25EE" w:rsidRDefault="006B25EE" w:rsidP="006B25EE">
      <w:pPr>
        <w:shd w:val="clear" w:color="auto" w:fill="FFFFFF"/>
        <w:spacing w:before="100" w:beforeAutospacing="1" w:after="330" w:line="270" w:lineRule="atLeast"/>
        <w:rPr>
          <w:rFonts w:ascii="PTSans" w:eastAsia="Times New Roman" w:hAnsi="PTSans" w:cs="Times New Roman"/>
          <w:color w:val="666666"/>
          <w:sz w:val="20"/>
          <w:szCs w:val="20"/>
          <w:lang w:eastAsia="ru-RU"/>
        </w:rPr>
      </w:pPr>
      <w:r w:rsidRPr="006B25EE">
        <w:rPr>
          <w:rFonts w:ascii="PTSans" w:eastAsia="Times New Roman" w:hAnsi="PTSans" w:cs="Times New Roman"/>
          <w:color w:val="666666"/>
          <w:sz w:val="20"/>
          <w:szCs w:val="20"/>
          <w:lang w:eastAsia="ru-RU"/>
        </w:rPr>
        <w:t xml:space="preserve">в нарушение Федерального закона № 111-ФЗ «Об инвестировании средств для финансирования накопительной пенсии в Российской Федерации» средства страховых взносов на финансирование накопительной пенсии, не учтенные на индивидуальных лицевых счетах застрахованных лиц по итогам 2014 г., в объеме 9,22 млрд руб. не были направлены в резерв ПФР по обязательному пенсионному страхованию, а были включены в состав средств пенсионных накоплений, поступивших в I квартале 2015 г. и размещались на депозитах в кредитных организациях; </w:t>
      </w:r>
    </w:p>
    <w:p w:rsidR="006B25EE" w:rsidRPr="006B25EE" w:rsidRDefault="006B25EE" w:rsidP="006B25EE">
      <w:pPr>
        <w:shd w:val="clear" w:color="auto" w:fill="FFFFFF"/>
        <w:spacing w:before="100" w:beforeAutospacing="1" w:after="330" w:line="270" w:lineRule="atLeast"/>
        <w:rPr>
          <w:rFonts w:ascii="PTSans" w:eastAsia="Times New Roman" w:hAnsi="PTSans" w:cs="Times New Roman"/>
          <w:color w:val="666666"/>
          <w:sz w:val="20"/>
          <w:szCs w:val="20"/>
          <w:lang w:eastAsia="ru-RU"/>
        </w:rPr>
      </w:pPr>
      <w:r w:rsidRPr="006B25EE">
        <w:rPr>
          <w:rFonts w:ascii="PTSans" w:eastAsia="Times New Roman" w:hAnsi="PTSans" w:cs="Times New Roman"/>
          <w:color w:val="666666"/>
          <w:sz w:val="20"/>
          <w:szCs w:val="20"/>
          <w:lang w:eastAsia="ru-RU"/>
        </w:rPr>
        <w:t>с нарушением сроков направлялись уведомления о передаче средств материнского (семейного) капитала на формирование накопительной пенсии в негосударственные пенсионные фонды.</w:t>
      </w:r>
    </w:p>
    <w:p w:rsidR="006B25EE" w:rsidRPr="006B25EE" w:rsidRDefault="006B25EE" w:rsidP="006B25EE">
      <w:pPr>
        <w:shd w:val="clear" w:color="auto" w:fill="FFFFFF"/>
        <w:spacing w:before="100" w:beforeAutospacing="1" w:after="330" w:line="270" w:lineRule="atLeast"/>
        <w:rPr>
          <w:rFonts w:ascii="PTSans" w:eastAsia="Times New Roman" w:hAnsi="PTSans" w:cs="Times New Roman"/>
          <w:color w:val="666666"/>
          <w:sz w:val="20"/>
          <w:szCs w:val="20"/>
          <w:lang w:eastAsia="ru-RU"/>
        </w:rPr>
      </w:pPr>
      <w:r w:rsidRPr="006B25EE">
        <w:rPr>
          <w:rFonts w:ascii="PTSans" w:eastAsia="Times New Roman" w:hAnsi="PTSans" w:cs="Times New Roman"/>
          <w:color w:val="666666"/>
          <w:sz w:val="20"/>
          <w:szCs w:val="20"/>
          <w:lang w:eastAsia="ru-RU"/>
        </w:rPr>
        <w:t xml:space="preserve">ПФР нарушались нормы законодательства Российской Федерации о контрактной системе в сфере закупок. Регламент проведения ведомственного контроля в сфере закупок был утвержден ПФР с опозданием на 13 месяцев. </w:t>
      </w:r>
    </w:p>
    <w:p w:rsidR="006B25EE" w:rsidRPr="006B25EE" w:rsidRDefault="006B25EE" w:rsidP="006B25EE">
      <w:pPr>
        <w:shd w:val="clear" w:color="auto" w:fill="FFFFFF"/>
        <w:spacing w:before="100" w:beforeAutospacing="1" w:after="330" w:line="270" w:lineRule="atLeast"/>
        <w:rPr>
          <w:rFonts w:ascii="PTSans" w:eastAsia="Times New Roman" w:hAnsi="PTSans" w:cs="Times New Roman"/>
          <w:color w:val="666666"/>
          <w:sz w:val="20"/>
          <w:szCs w:val="20"/>
          <w:lang w:eastAsia="ru-RU"/>
        </w:rPr>
      </w:pPr>
      <w:r w:rsidRPr="006B25EE">
        <w:rPr>
          <w:rFonts w:ascii="PTSans" w:eastAsia="Times New Roman" w:hAnsi="PTSans" w:cs="Times New Roman"/>
          <w:color w:val="666666"/>
          <w:sz w:val="20"/>
          <w:szCs w:val="20"/>
          <w:lang w:eastAsia="ru-RU"/>
        </w:rPr>
        <w:t xml:space="preserve">В нарушение Правил осуществления ведомственного контроля в сфере закупок для обеспечения федеральных нужд, утвержденных постановлением Правительства Российской Федерации (постановление от 10 февраля 2014 г. № 89) материалы проверок, содержащие признаки административных правонарушений, сотрудниками территориальных органов ПФР в федеральный орган исполнительной власти, уполномоченный на осуществление контроля в сфере закупок товаров (работ, услуг) для обеспечения государственных и муниципальных нужд, не направлялись. </w:t>
      </w:r>
    </w:p>
    <w:p w:rsidR="006B25EE" w:rsidRPr="006B25EE" w:rsidRDefault="006B25EE" w:rsidP="006B25EE">
      <w:pPr>
        <w:shd w:val="clear" w:color="auto" w:fill="FFFFFF"/>
        <w:spacing w:before="100" w:beforeAutospacing="1" w:after="330" w:line="270" w:lineRule="atLeast"/>
        <w:rPr>
          <w:rFonts w:ascii="PTSans" w:eastAsia="Times New Roman" w:hAnsi="PTSans" w:cs="Times New Roman"/>
          <w:color w:val="666666"/>
          <w:sz w:val="20"/>
          <w:szCs w:val="20"/>
          <w:lang w:eastAsia="ru-RU"/>
        </w:rPr>
      </w:pPr>
      <w:r w:rsidRPr="006B25EE">
        <w:rPr>
          <w:rFonts w:ascii="PTSans" w:eastAsia="Times New Roman" w:hAnsi="PTSans" w:cs="Times New Roman"/>
          <w:color w:val="666666"/>
          <w:sz w:val="20"/>
          <w:szCs w:val="20"/>
          <w:lang w:eastAsia="ru-RU"/>
        </w:rPr>
        <w:t xml:space="preserve">В нарушение Правил подготовки планов информатизации государственных органов и отчетов об их выполнении в отсутствие утвержденного плана информатизации на 2015 г. Фондом осуществлено финансирование по 4 государственным контрактам на сумму 632,3 млн руб. </w:t>
      </w:r>
    </w:p>
    <w:p w:rsidR="006B25EE" w:rsidRPr="006B25EE" w:rsidRDefault="006B25EE" w:rsidP="006B25EE">
      <w:pPr>
        <w:shd w:val="clear" w:color="auto" w:fill="FFFFFF"/>
        <w:spacing w:before="100" w:beforeAutospacing="1" w:after="330" w:line="270" w:lineRule="atLeast"/>
        <w:rPr>
          <w:rFonts w:ascii="PTSans" w:eastAsia="Times New Roman" w:hAnsi="PTSans" w:cs="Times New Roman"/>
          <w:color w:val="666666"/>
          <w:sz w:val="20"/>
          <w:szCs w:val="20"/>
          <w:lang w:eastAsia="ru-RU"/>
        </w:rPr>
      </w:pPr>
      <w:r w:rsidRPr="006B25EE">
        <w:rPr>
          <w:rFonts w:ascii="PTSans" w:eastAsia="Times New Roman" w:hAnsi="PTSans" w:cs="Times New Roman"/>
          <w:color w:val="666666"/>
          <w:sz w:val="20"/>
          <w:szCs w:val="20"/>
          <w:lang w:eastAsia="ru-RU"/>
        </w:rPr>
        <w:t>В нарушение Бюджетного кодекса в 2015 г. ПФР не осуществлял внутренний финансовый контроль. План проведения внутреннего финансового аудита на 2016 г. утвержден Председателем Правления ПФР 22 декабря 2015 г.</w:t>
      </w:r>
    </w:p>
    <w:p w:rsidR="006B25EE" w:rsidRPr="006B25EE" w:rsidRDefault="006B25EE" w:rsidP="006B25EE">
      <w:pPr>
        <w:shd w:val="clear" w:color="auto" w:fill="FFFFFF"/>
        <w:spacing w:before="100" w:beforeAutospacing="1" w:after="330" w:line="270" w:lineRule="atLeast"/>
        <w:rPr>
          <w:rFonts w:ascii="PTSans" w:eastAsia="Times New Roman" w:hAnsi="PTSans" w:cs="Times New Roman"/>
          <w:color w:val="666666"/>
          <w:sz w:val="20"/>
          <w:szCs w:val="20"/>
          <w:lang w:eastAsia="ru-RU"/>
        </w:rPr>
      </w:pPr>
      <w:r w:rsidRPr="006B25EE">
        <w:rPr>
          <w:rFonts w:ascii="PTSans" w:eastAsia="Times New Roman" w:hAnsi="PTSans" w:cs="Times New Roman"/>
          <w:color w:val="666666"/>
          <w:sz w:val="20"/>
          <w:szCs w:val="20"/>
          <w:lang w:eastAsia="ru-RU"/>
        </w:rPr>
        <w:t>В ходе проверки выявлены недостатки в планировании расходов на накопительную пенсию, на единовременную выплату средств пенсионных накоплений и срочную пенсионную выплату, связанные с занижением прогнозной численности получателей указанных выплат. Это привело к увеличению кассовых расходов на выплату накопительной пенсии на 18%, на единовременную выплату – в 2,1 раза, на срочную выплату – на 44% от утвержденных показателей.</w:t>
      </w:r>
    </w:p>
    <w:p w:rsidR="006B25EE" w:rsidRPr="006B25EE" w:rsidRDefault="006B25EE" w:rsidP="006B25EE">
      <w:pPr>
        <w:shd w:val="clear" w:color="auto" w:fill="FFFFFF"/>
        <w:spacing w:before="100" w:beforeAutospacing="1" w:after="330" w:line="270" w:lineRule="atLeast"/>
        <w:rPr>
          <w:rFonts w:ascii="PTSans" w:eastAsia="Times New Roman" w:hAnsi="PTSans" w:cs="Times New Roman"/>
          <w:color w:val="666666"/>
          <w:sz w:val="20"/>
          <w:szCs w:val="20"/>
          <w:lang w:eastAsia="ru-RU"/>
        </w:rPr>
      </w:pPr>
      <w:r w:rsidRPr="006B25EE">
        <w:rPr>
          <w:rFonts w:ascii="PTSans" w:eastAsia="Times New Roman" w:hAnsi="PTSans" w:cs="Times New Roman"/>
          <w:color w:val="666666"/>
          <w:sz w:val="20"/>
          <w:szCs w:val="20"/>
          <w:lang w:eastAsia="ru-RU"/>
        </w:rPr>
        <w:t xml:space="preserve">По итогам проверки было принято решение направить представление Пенсионному фонду Российской Федерации, информационные письма – в Правительство Российской Федерации, Министерство труда и социальной защиты Российской Федерации, Отделение Пенсионного фонда Российской Федерации по Костромской области, а также заключение – в палаты Федерального собрания и Правительство Российской Федерации. </w:t>
      </w:r>
    </w:p>
    <w:p w:rsidR="006B25EE" w:rsidRPr="006B25EE" w:rsidRDefault="006B25EE" w:rsidP="006B25EE">
      <w:pPr>
        <w:shd w:val="clear" w:color="auto" w:fill="FFFFFF"/>
        <w:spacing w:before="100" w:beforeAutospacing="1" w:after="330" w:line="270" w:lineRule="atLeast"/>
        <w:rPr>
          <w:rFonts w:ascii="PTSans" w:eastAsia="Times New Roman" w:hAnsi="PTSans" w:cs="Times New Roman"/>
          <w:color w:val="666666"/>
          <w:sz w:val="20"/>
          <w:szCs w:val="20"/>
          <w:lang w:eastAsia="ru-RU"/>
        </w:rPr>
      </w:pPr>
      <w:r w:rsidRPr="006B25EE">
        <w:rPr>
          <w:rFonts w:ascii="PTSansBold" w:eastAsia="Times New Roman" w:hAnsi="PTSansBold" w:cs="Times New Roman"/>
          <w:b/>
          <w:bCs/>
          <w:color w:val="666666"/>
          <w:sz w:val="20"/>
          <w:szCs w:val="20"/>
          <w:lang w:eastAsia="ru-RU"/>
        </w:rPr>
        <w:t>ФСС</w:t>
      </w:r>
    </w:p>
    <w:p w:rsidR="006B25EE" w:rsidRPr="006B25EE" w:rsidRDefault="006B25EE" w:rsidP="006B25EE">
      <w:pPr>
        <w:shd w:val="clear" w:color="auto" w:fill="FFFFFF"/>
        <w:spacing w:before="100" w:beforeAutospacing="1" w:after="330" w:line="270" w:lineRule="atLeast"/>
        <w:rPr>
          <w:rFonts w:ascii="PTSans" w:eastAsia="Times New Roman" w:hAnsi="PTSans" w:cs="Times New Roman"/>
          <w:color w:val="666666"/>
          <w:sz w:val="20"/>
          <w:szCs w:val="20"/>
          <w:lang w:eastAsia="ru-RU"/>
        </w:rPr>
      </w:pPr>
      <w:r w:rsidRPr="006B25EE">
        <w:rPr>
          <w:rFonts w:ascii="PTSans" w:eastAsia="Times New Roman" w:hAnsi="PTSans" w:cs="Times New Roman"/>
          <w:color w:val="666666"/>
          <w:sz w:val="20"/>
          <w:szCs w:val="20"/>
          <w:lang w:eastAsia="ru-RU"/>
        </w:rPr>
        <w:t xml:space="preserve">Согласно </w:t>
      </w:r>
      <w:hyperlink r:id="rId9" w:history="1">
        <w:r w:rsidRPr="006B25EE">
          <w:rPr>
            <w:rFonts w:ascii="PTSans" w:eastAsia="Times New Roman" w:hAnsi="PTSans" w:cs="Times New Roman"/>
            <w:color w:val="18A4C1"/>
            <w:sz w:val="20"/>
            <w:szCs w:val="20"/>
            <w:u w:val="single"/>
            <w:lang w:eastAsia="ru-RU"/>
          </w:rPr>
          <w:t>Заключению</w:t>
        </w:r>
      </w:hyperlink>
      <w:r w:rsidRPr="006B25EE">
        <w:rPr>
          <w:rFonts w:ascii="PTSans" w:eastAsia="Times New Roman" w:hAnsi="PTSans" w:cs="Times New Roman"/>
          <w:color w:val="666666"/>
          <w:sz w:val="20"/>
          <w:szCs w:val="20"/>
          <w:lang w:eastAsia="ru-RU"/>
        </w:rPr>
        <w:t xml:space="preserve"> Счетной палаты, в 2015 г. бюджет Федерального фонда социального страхования (далее – ФСС) по доходам исполнен в сумме 541,3 млрд руб. (104,2% от прогнозируемого показателя, утвержденного Законом о бюджете Фонда), по расходам – 612,1 млрд руб. (101,6% от показателя, утвержденного Законом о бюджете Фонда и 98,2% от показателя сводной бюджетной росписи). По итогам исполнения бюджета ФСС в 2015 г. сложился дефицит (–) 70,9 млрд руб. Обеспеченность расходов доходами в 2015 г. составила в целом 95,6%. Остаток средств на едином счете Фонда на 1 января 2016 г. составил 188,1 млрд руб. </w:t>
      </w:r>
    </w:p>
    <w:p w:rsidR="006B25EE" w:rsidRPr="006B25EE" w:rsidRDefault="006B25EE" w:rsidP="006B25EE">
      <w:pPr>
        <w:shd w:val="clear" w:color="auto" w:fill="FFFFFF"/>
        <w:spacing w:before="100" w:beforeAutospacing="1" w:after="330" w:line="270" w:lineRule="atLeast"/>
        <w:rPr>
          <w:rFonts w:ascii="PTSans" w:eastAsia="Times New Roman" w:hAnsi="PTSans" w:cs="Times New Roman"/>
          <w:color w:val="666666"/>
          <w:sz w:val="20"/>
          <w:szCs w:val="20"/>
          <w:lang w:eastAsia="ru-RU"/>
        </w:rPr>
      </w:pPr>
      <w:r w:rsidRPr="006B25EE">
        <w:rPr>
          <w:rFonts w:ascii="PTSans" w:eastAsia="Times New Roman" w:hAnsi="PTSans" w:cs="Times New Roman"/>
          <w:color w:val="666666"/>
          <w:sz w:val="20"/>
          <w:szCs w:val="20"/>
          <w:lang w:eastAsia="ru-RU"/>
        </w:rPr>
        <w:t xml:space="preserve">Как показала проверка, в 2015 г. поступление страховых взносов по социальному страхованию на случай временной нетрудоспособности и в связи с материнством составило 435,4 млрд руб. (98,6% прогнозируемого показателя), страховых взносов на обязательное социальное страхование от несчастных случаев на производстве и профессиональных заболеваний - 95,7 млрд руб. (104,6% прогнозируемого показателя). Фактический коэффициент полноты сбора указанных страховых взносов сложился на уровне 99,3 и 98,2%, соответственно. </w:t>
      </w:r>
    </w:p>
    <w:p w:rsidR="006B25EE" w:rsidRPr="006B25EE" w:rsidRDefault="006B25EE" w:rsidP="006B25EE">
      <w:pPr>
        <w:shd w:val="clear" w:color="auto" w:fill="FFFFFF"/>
        <w:spacing w:before="100" w:beforeAutospacing="1" w:after="330" w:line="270" w:lineRule="atLeast"/>
        <w:rPr>
          <w:rFonts w:ascii="PTSans" w:eastAsia="Times New Roman" w:hAnsi="PTSans" w:cs="Times New Roman"/>
          <w:color w:val="666666"/>
          <w:sz w:val="20"/>
          <w:szCs w:val="20"/>
          <w:lang w:eastAsia="ru-RU"/>
        </w:rPr>
      </w:pPr>
      <w:r w:rsidRPr="006B25EE">
        <w:rPr>
          <w:rFonts w:ascii="PTSans" w:eastAsia="Times New Roman" w:hAnsi="PTSans" w:cs="Times New Roman"/>
          <w:color w:val="666666"/>
          <w:sz w:val="20"/>
          <w:szCs w:val="20"/>
          <w:lang w:eastAsia="ru-RU"/>
        </w:rPr>
        <w:t xml:space="preserve">Общая сумма выпадающих доходов, связанная с применением пониженных тарифов страховых взносов, составила 13,1 млрд руб. В настоящее время мониторинг эффективности применения пониженных тарифов федеральными органами исполнительной власти не проводится, методика проведения такого мониторинга отсутствует, что не позволяет оценить экономический результат от применения данной меры государственной поддержки. </w:t>
      </w:r>
    </w:p>
    <w:p w:rsidR="006B25EE" w:rsidRPr="006B25EE" w:rsidRDefault="006B25EE" w:rsidP="006B25EE">
      <w:pPr>
        <w:shd w:val="clear" w:color="auto" w:fill="FFFFFF"/>
        <w:spacing w:before="100" w:beforeAutospacing="1" w:after="330" w:line="270" w:lineRule="atLeast"/>
        <w:rPr>
          <w:rFonts w:ascii="PTSans" w:eastAsia="Times New Roman" w:hAnsi="PTSans" w:cs="Times New Roman"/>
          <w:color w:val="666666"/>
          <w:sz w:val="20"/>
          <w:szCs w:val="20"/>
          <w:lang w:eastAsia="ru-RU"/>
        </w:rPr>
      </w:pPr>
      <w:r w:rsidRPr="006B25EE">
        <w:rPr>
          <w:rFonts w:ascii="PTSans" w:eastAsia="Times New Roman" w:hAnsi="PTSans" w:cs="Times New Roman"/>
          <w:color w:val="666666"/>
          <w:sz w:val="20"/>
          <w:szCs w:val="20"/>
          <w:lang w:eastAsia="ru-RU"/>
        </w:rPr>
        <w:t>По мнению Счетной палаты, для оценки экономического эффекта от применения пониженных тарифов страховых взносов Правительству Российской Федерации целесообразно поручить федеральным органам исполнительной власти провести мониторинг влияния данной меры социальной поддержки на развитие той или иной отрасли экономики с учетом объемов произведенной продукции (оказанных услуг), прибыли, средней заработной платы сотрудников предприятий и организаций, применяющих пониженные тарифы страховых взносов, и других показателей.</w:t>
      </w:r>
    </w:p>
    <w:p w:rsidR="006B25EE" w:rsidRPr="006B25EE" w:rsidRDefault="006B25EE" w:rsidP="006B25EE">
      <w:pPr>
        <w:shd w:val="clear" w:color="auto" w:fill="FFFFFF"/>
        <w:spacing w:before="100" w:beforeAutospacing="1" w:after="330" w:line="270" w:lineRule="atLeast"/>
        <w:rPr>
          <w:rFonts w:ascii="PTSans" w:eastAsia="Times New Roman" w:hAnsi="PTSans" w:cs="Times New Roman"/>
          <w:color w:val="666666"/>
          <w:sz w:val="20"/>
          <w:szCs w:val="20"/>
          <w:lang w:eastAsia="ru-RU"/>
        </w:rPr>
      </w:pPr>
      <w:r w:rsidRPr="006B25EE">
        <w:rPr>
          <w:rFonts w:ascii="PTSans" w:eastAsia="Times New Roman" w:hAnsi="PTSans" w:cs="Times New Roman"/>
          <w:color w:val="666666"/>
          <w:sz w:val="20"/>
          <w:szCs w:val="20"/>
          <w:lang w:eastAsia="ru-RU"/>
        </w:rPr>
        <w:t>За 2015 г. задолженность по обязательному социальному страхованию на случай временной нетрудоспособности и в связи с материнством выросла на 37,6%, по обязательному социальному страхованию от несчастных случаев на производстве и профессиональных заболеваний – на 3%.</w:t>
      </w:r>
    </w:p>
    <w:p w:rsidR="006B25EE" w:rsidRPr="006B25EE" w:rsidRDefault="006B25EE" w:rsidP="006B25EE">
      <w:pPr>
        <w:shd w:val="clear" w:color="auto" w:fill="FFFFFF"/>
        <w:spacing w:before="100" w:beforeAutospacing="1" w:after="330" w:line="270" w:lineRule="atLeast"/>
        <w:rPr>
          <w:rFonts w:ascii="PTSans" w:eastAsia="Times New Roman" w:hAnsi="PTSans" w:cs="Times New Roman"/>
          <w:color w:val="666666"/>
          <w:sz w:val="20"/>
          <w:szCs w:val="20"/>
          <w:lang w:eastAsia="ru-RU"/>
        </w:rPr>
      </w:pPr>
      <w:r w:rsidRPr="006B25EE">
        <w:rPr>
          <w:rFonts w:ascii="PTSans" w:eastAsia="Times New Roman" w:hAnsi="PTSans" w:cs="Times New Roman"/>
          <w:color w:val="666666"/>
          <w:sz w:val="20"/>
          <w:szCs w:val="20"/>
          <w:lang w:eastAsia="ru-RU"/>
        </w:rPr>
        <w:t>Просроченная задолженность по обязательному социальному страхованию от несчастных случаев на производстве и профессиональных заболеваний в 2015 г. взыскана в объеме 5,3 млрд руб., что на 2,7% больше по сравнению с 2014 г., по обязательному социальному страхованию на случай временной нетрудоспособности и в связи с материнством – в объеме 8,9 млрд руб., что на 45,2% больше показателя 2014 г.</w:t>
      </w:r>
    </w:p>
    <w:p w:rsidR="006B25EE" w:rsidRPr="006B25EE" w:rsidRDefault="006B25EE" w:rsidP="006B25EE">
      <w:pPr>
        <w:shd w:val="clear" w:color="auto" w:fill="FFFFFF"/>
        <w:spacing w:before="100" w:beforeAutospacing="1" w:after="330" w:line="270" w:lineRule="atLeast"/>
        <w:rPr>
          <w:rFonts w:ascii="PTSans" w:eastAsia="Times New Roman" w:hAnsi="PTSans" w:cs="Times New Roman"/>
          <w:color w:val="666666"/>
          <w:sz w:val="20"/>
          <w:szCs w:val="20"/>
          <w:lang w:eastAsia="ru-RU"/>
        </w:rPr>
      </w:pPr>
      <w:r w:rsidRPr="006B25EE">
        <w:rPr>
          <w:rFonts w:ascii="PTSans" w:eastAsia="Times New Roman" w:hAnsi="PTSans" w:cs="Times New Roman"/>
          <w:color w:val="666666"/>
          <w:sz w:val="20"/>
          <w:szCs w:val="20"/>
          <w:lang w:eastAsia="ru-RU"/>
        </w:rPr>
        <w:t xml:space="preserve">В результате выездных проверок правильности расходов страхователей по двум видам социального страхования в 2015 г. ФСС выявлены нарушения на сумму почти 19 млрд руб., из которых 14,6 млрд руб. (77%) восстановлено в бюджет Фонда. </w:t>
      </w:r>
    </w:p>
    <w:p w:rsidR="006B25EE" w:rsidRPr="006B25EE" w:rsidRDefault="006B25EE" w:rsidP="006B25EE">
      <w:pPr>
        <w:shd w:val="clear" w:color="auto" w:fill="FFFFFF"/>
        <w:spacing w:before="100" w:beforeAutospacing="1" w:after="330" w:line="270" w:lineRule="atLeast"/>
        <w:rPr>
          <w:rFonts w:ascii="PTSans" w:eastAsia="Times New Roman" w:hAnsi="PTSans" w:cs="Times New Roman"/>
          <w:color w:val="666666"/>
          <w:sz w:val="20"/>
          <w:szCs w:val="20"/>
          <w:lang w:eastAsia="ru-RU"/>
        </w:rPr>
      </w:pPr>
      <w:r w:rsidRPr="006B25EE">
        <w:rPr>
          <w:rFonts w:ascii="PTSans" w:eastAsia="Times New Roman" w:hAnsi="PTSans" w:cs="Times New Roman"/>
          <w:color w:val="666666"/>
          <w:sz w:val="20"/>
          <w:szCs w:val="20"/>
          <w:lang w:eastAsia="ru-RU"/>
        </w:rPr>
        <w:t>Кредиторская задолженность ФСС перед страхователями, сложившая в сумме превышения произведенных ими расходов на выплату пособий над суммой начисленных в 2015 г. страховых взносов, по состоянию на 1 января 2016 г. составила 64,4 млрд руб., что на 7,7 млрд руб. больше чем на начало 2015 г.</w:t>
      </w:r>
    </w:p>
    <w:p w:rsidR="006B25EE" w:rsidRPr="006B25EE" w:rsidRDefault="006B25EE" w:rsidP="006B25EE">
      <w:pPr>
        <w:shd w:val="clear" w:color="auto" w:fill="FFFFFF"/>
        <w:spacing w:before="100" w:beforeAutospacing="1" w:after="330" w:line="270" w:lineRule="atLeast"/>
        <w:rPr>
          <w:rFonts w:ascii="PTSans" w:eastAsia="Times New Roman" w:hAnsi="PTSans" w:cs="Times New Roman"/>
          <w:color w:val="666666"/>
          <w:sz w:val="20"/>
          <w:szCs w:val="20"/>
          <w:lang w:eastAsia="ru-RU"/>
        </w:rPr>
      </w:pPr>
      <w:r w:rsidRPr="006B25EE">
        <w:rPr>
          <w:rFonts w:ascii="PTSans" w:eastAsia="Times New Roman" w:hAnsi="PTSans" w:cs="Times New Roman"/>
          <w:color w:val="666666"/>
          <w:sz w:val="20"/>
          <w:szCs w:val="20"/>
          <w:lang w:eastAsia="ru-RU"/>
        </w:rPr>
        <w:t>Резерв страховых взносов на обязательное социальное страхование от несчастных случаев на производстве и профессиональных заболеваний за 2015 г. увеличился на 23%, составив на 1 января 2016 г. 102,6 млрд руб.</w:t>
      </w:r>
    </w:p>
    <w:p w:rsidR="006B25EE" w:rsidRPr="006B25EE" w:rsidRDefault="006B25EE" w:rsidP="006B25EE">
      <w:pPr>
        <w:shd w:val="clear" w:color="auto" w:fill="FFFFFF"/>
        <w:spacing w:before="100" w:beforeAutospacing="1" w:after="330" w:line="270" w:lineRule="atLeast"/>
        <w:rPr>
          <w:rFonts w:ascii="PTSans" w:eastAsia="Times New Roman" w:hAnsi="PTSans" w:cs="Times New Roman"/>
          <w:color w:val="666666"/>
          <w:sz w:val="20"/>
          <w:szCs w:val="20"/>
          <w:lang w:eastAsia="ru-RU"/>
        </w:rPr>
      </w:pPr>
      <w:r w:rsidRPr="006B25EE">
        <w:rPr>
          <w:rFonts w:ascii="PTSans" w:eastAsia="Times New Roman" w:hAnsi="PTSans" w:cs="Times New Roman"/>
          <w:color w:val="666666"/>
          <w:sz w:val="20"/>
          <w:szCs w:val="20"/>
          <w:lang w:eastAsia="ru-RU"/>
        </w:rPr>
        <w:t>Межбюджетные трансферты из федерального бюджета и бюджета Фонда обязательного медицинского страхования на выполнение социальных обязательств поступили в бюджет ФСС в объеме 48,8 млрд руб.</w:t>
      </w:r>
    </w:p>
    <w:p w:rsidR="006B25EE" w:rsidRPr="006B25EE" w:rsidRDefault="006B25EE" w:rsidP="006B25EE">
      <w:pPr>
        <w:shd w:val="clear" w:color="auto" w:fill="FFFFFF"/>
        <w:spacing w:before="100" w:beforeAutospacing="1" w:after="330" w:line="270" w:lineRule="atLeast"/>
        <w:rPr>
          <w:rFonts w:ascii="PTSans" w:eastAsia="Times New Roman" w:hAnsi="PTSans" w:cs="Times New Roman"/>
          <w:color w:val="666666"/>
          <w:sz w:val="20"/>
          <w:szCs w:val="20"/>
          <w:lang w:eastAsia="ru-RU"/>
        </w:rPr>
      </w:pPr>
      <w:r w:rsidRPr="006B25EE">
        <w:rPr>
          <w:rFonts w:ascii="PTSans" w:eastAsia="Times New Roman" w:hAnsi="PTSans" w:cs="Times New Roman"/>
          <w:color w:val="666666"/>
          <w:sz w:val="20"/>
          <w:szCs w:val="20"/>
          <w:lang w:eastAsia="ru-RU"/>
        </w:rPr>
        <w:t xml:space="preserve">В 2015 г. расходы Фонда на социальное обеспечение населения составили 587 млрд руб. (101,9% от показателя, утвержденного Законом о бюджете Фонда и 98,4% показателя сводной бюджетной росписи). </w:t>
      </w:r>
    </w:p>
    <w:p w:rsidR="006B25EE" w:rsidRPr="006B25EE" w:rsidRDefault="006B25EE" w:rsidP="006B25EE">
      <w:pPr>
        <w:shd w:val="clear" w:color="auto" w:fill="FFFFFF"/>
        <w:spacing w:before="100" w:beforeAutospacing="1" w:after="330" w:line="270" w:lineRule="atLeast"/>
        <w:rPr>
          <w:rFonts w:ascii="PTSans" w:eastAsia="Times New Roman" w:hAnsi="PTSans" w:cs="Times New Roman"/>
          <w:color w:val="666666"/>
          <w:sz w:val="20"/>
          <w:szCs w:val="20"/>
          <w:lang w:eastAsia="ru-RU"/>
        </w:rPr>
      </w:pPr>
      <w:r w:rsidRPr="006B25EE">
        <w:rPr>
          <w:rFonts w:ascii="PTSans" w:eastAsia="Times New Roman" w:hAnsi="PTSans" w:cs="Times New Roman"/>
          <w:color w:val="666666"/>
          <w:sz w:val="20"/>
          <w:szCs w:val="20"/>
          <w:lang w:eastAsia="ru-RU"/>
        </w:rPr>
        <w:t xml:space="preserve">Расходы Фонда за счет межбюджетных трансфертов, получаемых из федерального бюджета и бюджета ФОМС, составили 48,1 млрд руб. При этом основную долю межбюджетных трансфертов (69,3%), получаемых Фондом из федерального бюджета, в 2015 г составляли средства на обеспечение инвалидов техническими средствами реабилитации (ТСР): с учетом дополнительно выделенных в течение года средств и неиспользованного остатка 2014 г. их объем сложился в сумме 21,9 млрд руб., из которых израсходовано 21,3 млрд руб. </w:t>
      </w:r>
    </w:p>
    <w:p w:rsidR="006B25EE" w:rsidRPr="006B25EE" w:rsidRDefault="006B25EE" w:rsidP="006B25EE">
      <w:pPr>
        <w:shd w:val="clear" w:color="auto" w:fill="FFFFFF"/>
        <w:spacing w:before="100" w:beforeAutospacing="1" w:after="330" w:line="270" w:lineRule="atLeast"/>
        <w:rPr>
          <w:rFonts w:ascii="PTSans" w:eastAsia="Times New Roman" w:hAnsi="PTSans" w:cs="Times New Roman"/>
          <w:color w:val="666666"/>
          <w:sz w:val="20"/>
          <w:szCs w:val="20"/>
          <w:lang w:eastAsia="ru-RU"/>
        </w:rPr>
      </w:pPr>
      <w:r w:rsidRPr="006B25EE">
        <w:rPr>
          <w:rFonts w:ascii="PTSans" w:eastAsia="Times New Roman" w:hAnsi="PTSans" w:cs="Times New Roman"/>
          <w:color w:val="666666"/>
          <w:sz w:val="20"/>
          <w:szCs w:val="20"/>
          <w:lang w:eastAsia="ru-RU"/>
        </w:rPr>
        <w:t>Проверка показала, что при уточнении необходимого объема финансирования расходов на обеспечение инвалидов ТСР региональными отделениями ФСС вносились многочисленные изменения, в результате чего бюджетные ассигнования на 2015 г., поступившие в бюджет ФСС в октябре 2015 г., не смогли быть перечислены Фондом своевременно и в полном объеме. Последний транш был перечислен 25 декабря 2015 г. В результате 596,9 млн руб., предусмотренных на обеспечение инвалидов ТСР, региональными отделениями ФСС не израсходованы.</w:t>
      </w:r>
    </w:p>
    <w:p w:rsidR="006B25EE" w:rsidRPr="006B25EE" w:rsidRDefault="006B25EE" w:rsidP="006B25EE">
      <w:pPr>
        <w:shd w:val="clear" w:color="auto" w:fill="FFFFFF"/>
        <w:spacing w:before="100" w:beforeAutospacing="1" w:after="330" w:line="270" w:lineRule="atLeast"/>
        <w:rPr>
          <w:rFonts w:ascii="PTSans" w:eastAsia="Times New Roman" w:hAnsi="PTSans" w:cs="Times New Roman"/>
          <w:color w:val="666666"/>
          <w:sz w:val="20"/>
          <w:szCs w:val="20"/>
          <w:lang w:eastAsia="ru-RU"/>
        </w:rPr>
      </w:pPr>
      <w:r w:rsidRPr="006B25EE">
        <w:rPr>
          <w:rFonts w:ascii="PTSans" w:eastAsia="Times New Roman" w:hAnsi="PTSans" w:cs="Times New Roman"/>
          <w:color w:val="666666"/>
          <w:sz w:val="20"/>
          <w:szCs w:val="20"/>
          <w:lang w:eastAsia="ru-RU"/>
        </w:rPr>
        <w:t>Кроме того, распределение межбюджетного трансферта региональным отделениям ФСС было осуществлено Фондом без учета средней стоимости по каждому виду ТСР. Контроль за качеством планирования региональными отделениями ФСС необходимого объема средств для обеспечения инвалидов ТСР на должном уровне Фондом не осуществлялся.</w:t>
      </w:r>
    </w:p>
    <w:p w:rsidR="006B25EE" w:rsidRPr="006B25EE" w:rsidRDefault="006B25EE" w:rsidP="006B25EE">
      <w:pPr>
        <w:shd w:val="clear" w:color="auto" w:fill="FFFFFF"/>
        <w:spacing w:before="100" w:beforeAutospacing="1" w:after="330" w:line="270" w:lineRule="atLeast"/>
        <w:rPr>
          <w:rFonts w:ascii="PTSans" w:eastAsia="Times New Roman" w:hAnsi="PTSans" w:cs="Times New Roman"/>
          <w:color w:val="666666"/>
          <w:sz w:val="20"/>
          <w:szCs w:val="20"/>
          <w:lang w:eastAsia="ru-RU"/>
        </w:rPr>
      </w:pPr>
      <w:r w:rsidRPr="006B25EE">
        <w:rPr>
          <w:rFonts w:ascii="PTSans" w:eastAsia="Times New Roman" w:hAnsi="PTSans" w:cs="Times New Roman"/>
          <w:color w:val="666666"/>
          <w:sz w:val="20"/>
          <w:szCs w:val="20"/>
          <w:lang w:eastAsia="ru-RU"/>
        </w:rPr>
        <w:t>В ходе проверки исполнения бюджета ФСС за 2015 г. были выявлены и другие нарушения финансовой дисциплины и действующего законодательства.</w:t>
      </w:r>
    </w:p>
    <w:p w:rsidR="006B25EE" w:rsidRPr="006B25EE" w:rsidRDefault="006B25EE" w:rsidP="006B25EE">
      <w:pPr>
        <w:shd w:val="clear" w:color="auto" w:fill="FFFFFF"/>
        <w:spacing w:before="100" w:beforeAutospacing="1" w:after="330" w:line="270" w:lineRule="atLeast"/>
        <w:rPr>
          <w:rFonts w:ascii="PTSans" w:eastAsia="Times New Roman" w:hAnsi="PTSans" w:cs="Times New Roman"/>
          <w:color w:val="666666"/>
          <w:sz w:val="20"/>
          <w:szCs w:val="20"/>
          <w:lang w:eastAsia="ru-RU"/>
        </w:rPr>
      </w:pPr>
      <w:r w:rsidRPr="006B25EE">
        <w:rPr>
          <w:rFonts w:ascii="PTSans" w:eastAsia="Times New Roman" w:hAnsi="PTSans" w:cs="Times New Roman"/>
          <w:color w:val="666666"/>
          <w:sz w:val="20"/>
          <w:szCs w:val="20"/>
          <w:lang w:eastAsia="ru-RU"/>
        </w:rPr>
        <w:t xml:space="preserve">Так, государственные контракты на проведение мероприятий по информатизации на сумму 1 млрд руб. были заключены Фондом до согласования с Минкомсвязи России плана информатизации ФСС на 2015 г. </w:t>
      </w:r>
    </w:p>
    <w:p w:rsidR="006B25EE" w:rsidRPr="006B25EE" w:rsidRDefault="006B25EE" w:rsidP="006B25EE">
      <w:pPr>
        <w:shd w:val="clear" w:color="auto" w:fill="FFFFFF"/>
        <w:spacing w:before="100" w:beforeAutospacing="1" w:after="330" w:line="270" w:lineRule="atLeast"/>
        <w:rPr>
          <w:rFonts w:ascii="PTSans" w:eastAsia="Times New Roman" w:hAnsi="PTSans" w:cs="Times New Roman"/>
          <w:color w:val="666666"/>
          <w:sz w:val="20"/>
          <w:szCs w:val="20"/>
          <w:lang w:eastAsia="ru-RU"/>
        </w:rPr>
      </w:pPr>
      <w:r w:rsidRPr="006B25EE">
        <w:rPr>
          <w:rFonts w:ascii="PTSans" w:eastAsia="Times New Roman" w:hAnsi="PTSans" w:cs="Times New Roman"/>
          <w:color w:val="666666"/>
          <w:sz w:val="20"/>
          <w:szCs w:val="20"/>
          <w:lang w:eastAsia="ru-RU"/>
        </w:rPr>
        <w:t>В нарушение Бюджетного кодекса и Положения о ведении реестра расходных обязательств Российской Федерации Фондом осуществлена выплата ежегодного членского взноса в Международную ассоциацию пенсионных и социальных фондов в размере 2 млн руб. При этом Счетной палатой Российской Федерации неоднократно отмечалось, что с точки зрения эффективности расходования бюджетных средств подобные траты нельзя считать обоснованными, поскольку уплата членских взносов осуществляется Фондом без соответствующего нормативного правового регулирования.</w:t>
      </w:r>
    </w:p>
    <w:p w:rsidR="006B25EE" w:rsidRPr="006B25EE" w:rsidRDefault="006B25EE" w:rsidP="006B25EE">
      <w:pPr>
        <w:shd w:val="clear" w:color="auto" w:fill="FFFFFF"/>
        <w:spacing w:before="100" w:beforeAutospacing="1" w:after="330" w:line="270" w:lineRule="atLeast"/>
        <w:rPr>
          <w:rFonts w:ascii="PTSans" w:eastAsia="Times New Roman" w:hAnsi="PTSans" w:cs="Times New Roman"/>
          <w:color w:val="666666"/>
          <w:sz w:val="20"/>
          <w:szCs w:val="20"/>
          <w:lang w:eastAsia="ru-RU"/>
        </w:rPr>
      </w:pPr>
      <w:r w:rsidRPr="006B25EE">
        <w:rPr>
          <w:rFonts w:ascii="PTSans" w:eastAsia="Times New Roman" w:hAnsi="PTSans" w:cs="Times New Roman"/>
          <w:color w:val="666666"/>
          <w:sz w:val="20"/>
          <w:szCs w:val="20"/>
          <w:lang w:eastAsia="ru-RU"/>
        </w:rPr>
        <w:t xml:space="preserve">Проверка деятельности ФСС и его региональных отделений в сфере государственных закупок показала отсутствие надлежащего контроля при заключении и исполнении государственных контрактов, что привело к многочисленным нарушениям законодательства о контрактной системе, в том числе несоблюдение объема закупок у субъектов малого предпринимательства и социально ориентированных некоммерческих организаций (0,26% вместо установленных законом 15%). </w:t>
      </w:r>
    </w:p>
    <w:p w:rsidR="006B25EE" w:rsidRPr="006B25EE" w:rsidRDefault="006B25EE" w:rsidP="006B25EE">
      <w:pPr>
        <w:shd w:val="clear" w:color="auto" w:fill="FFFFFF"/>
        <w:spacing w:before="100" w:beforeAutospacing="1" w:after="330" w:line="270" w:lineRule="atLeast"/>
        <w:rPr>
          <w:rFonts w:ascii="PTSans" w:eastAsia="Times New Roman" w:hAnsi="PTSans" w:cs="Times New Roman"/>
          <w:color w:val="666666"/>
          <w:sz w:val="20"/>
          <w:szCs w:val="20"/>
          <w:lang w:eastAsia="ru-RU"/>
        </w:rPr>
      </w:pPr>
      <w:r w:rsidRPr="006B25EE">
        <w:rPr>
          <w:rFonts w:ascii="PTSans" w:eastAsia="Times New Roman" w:hAnsi="PTSans" w:cs="Times New Roman"/>
          <w:color w:val="666666"/>
          <w:sz w:val="20"/>
          <w:szCs w:val="20"/>
          <w:lang w:eastAsia="ru-RU"/>
        </w:rPr>
        <w:t xml:space="preserve">При определении и обосновании начальной (максимальной) цены контракта должностными лицами Фонда и Московского регионального отделения ФСС не применялись Методические рекомендации по определению НМЦК и цены контракта заключаемого с единственным поставщиком (подрядчиком, исполнителем), утвержденные приказом Минэкономразвития России. </w:t>
      </w:r>
    </w:p>
    <w:p w:rsidR="006B25EE" w:rsidRPr="006B25EE" w:rsidRDefault="006B25EE" w:rsidP="006B25EE">
      <w:pPr>
        <w:shd w:val="clear" w:color="auto" w:fill="FFFFFF"/>
        <w:spacing w:before="100" w:beforeAutospacing="1" w:after="330" w:line="270" w:lineRule="atLeast"/>
        <w:rPr>
          <w:rFonts w:ascii="PTSans" w:eastAsia="Times New Roman" w:hAnsi="PTSans" w:cs="Times New Roman"/>
          <w:color w:val="666666"/>
          <w:sz w:val="20"/>
          <w:szCs w:val="20"/>
          <w:lang w:eastAsia="ru-RU"/>
        </w:rPr>
      </w:pPr>
      <w:r w:rsidRPr="006B25EE">
        <w:rPr>
          <w:rFonts w:ascii="PTSans" w:eastAsia="Times New Roman" w:hAnsi="PTSans" w:cs="Times New Roman"/>
          <w:color w:val="666666"/>
          <w:sz w:val="20"/>
          <w:szCs w:val="20"/>
          <w:lang w:eastAsia="ru-RU"/>
        </w:rPr>
        <w:t xml:space="preserve">Установлено также, что в нарушение Федерального закона 44-ФЗ «О контрактной системе в сфере закупок товаров, работ, услуг для обеспечения государственных и муниципальных нужд» Фондом устанавливались требования к участнику закупки, влекущие ограничение количества ее участников, что в свою очередь создавало риски подготовки технической документации к госконтрактам под конкретного поставщика услуг. </w:t>
      </w:r>
    </w:p>
    <w:p w:rsidR="006B25EE" w:rsidRPr="006B25EE" w:rsidRDefault="006B25EE" w:rsidP="006B25EE">
      <w:pPr>
        <w:shd w:val="clear" w:color="auto" w:fill="FFFFFF"/>
        <w:spacing w:before="100" w:beforeAutospacing="1" w:after="330" w:line="270" w:lineRule="atLeast"/>
        <w:rPr>
          <w:rFonts w:ascii="PTSans" w:eastAsia="Times New Roman" w:hAnsi="PTSans" w:cs="Times New Roman"/>
          <w:color w:val="666666"/>
          <w:sz w:val="20"/>
          <w:szCs w:val="20"/>
          <w:lang w:eastAsia="ru-RU"/>
        </w:rPr>
      </w:pPr>
      <w:r w:rsidRPr="006B25EE">
        <w:rPr>
          <w:rFonts w:ascii="PTSans" w:eastAsia="Times New Roman" w:hAnsi="PTSans" w:cs="Times New Roman"/>
          <w:color w:val="666666"/>
          <w:sz w:val="20"/>
          <w:szCs w:val="20"/>
          <w:lang w:eastAsia="ru-RU"/>
        </w:rPr>
        <w:t>В ходе проверки выявлены нарушения, допущенные Фондом при заключении и выполнении государственного контракта с ООО «Гео-ГИД» на оказание услуг по технико-экономическому аудиту зданий, строений, сооружений, помещений, объектов незавершенного строительства, закрепленных на праве оперативного управления за ФСС, его региональными отделениями, и земельных участков, предоставленных ФСС и его региональным отделениям на праве постоянного (бессрочного) пользования. Общая сумма контракта составила 220 млн руб. В 2015 г. расходы на выполнение обязательств по данному контракту составили 154 млн руб.</w:t>
      </w:r>
    </w:p>
    <w:p w:rsidR="006B25EE" w:rsidRPr="006B25EE" w:rsidRDefault="006B25EE" w:rsidP="006B25EE">
      <w:pPr>
        <w:shd w:val="clear" w:color="auto" w:fill="FFFFFF"/>
        <w:spacing w:before="100" w:beforeAutospacing="1" w:after="330" w:line="270" w:lineRule="atLeast"/>
        <w:rPr>
          <w:rFonts w:ascii="PTSans" w:eastAsia="Times New Roman" w:hAnsi="PTSans" w:cs="Times New Roman"/>
          <w:color w:val="666666"/>
          <w:sz w:val="20"/>
          <w:szCs w:val="20"/>
          <w:lang w:eastAsia="ru-RU"/>
        </w:rPr>
      </w:pPr>
      <w:r w:rsidRPr="006B25EE">
        <w:rPr>
          <w:rFonts w:ascii="PTSans" w:eastAsia="Times New Roman" w:hAnsi="PTSans" w:cs="Times New Roman"/>
          <w:color w:val="666666"/>
          <w:sz w:val="20"/>
          <w:szCs w:val="20"/>
          <w:lang w:eastAsia="ru-RU"/>
        </w:rPr>
        <w:t>Указанный государственный контракт фактически заключен на оказание услуг, осуществляемых в рамках функций и полномочий центрального аппарата Фонда и его региональных отделений. При этом оценка возможности осуществления указанных работ или их части непосредственно силами территориальных органов ФСС Фондом не проводилась. Обоснование расчета ориентировочной НМЦК при включении закупки в план-график закупок ФСС отсутствовало.</w:t>
      </w:r>
    </w:p>
    <w:p w:rsidR="006B25EE" w:rsidRPr="006B25EE" w:rsidRDefault="006B25EE" w:rsidP="006B25EE">
      <w:pPr>
        <w:shd w:val="clear" w:color="auto" w:fill="FFFFFF"/>
        <w:spacing w:before="100" w:beforeAutospacing="1" w:after="330" w:line="270" w:lineRule="atLeast"/>
        <w:rPr>
          <w:rFonts w:ascii="PTSans" w:eastAsia="Times New Roman" w:hAnsi="PTSans" w:cs="Times New Roman"/>
          <w:color w:val="666666"/>
          <w:sz w:val="20"/>
          <w:szCs w:val="20"/>
          <w:lang w:eastAsia="ru-RU"/>
        </w:rPr>
      </w:pPr>
      <w:r w:rsidRPr="006B25EE">
        <w:rPr>
          <w:rFonts w:ascii="PTSans" w:eastAsia="Times New Roman" w:hAnsi="PTSans" w:cs="Times New Roman"/>
          <w:color w:val="666666"/>
          <w:sz w:val="20"/>
          <w:szCs w:val="20"/>
          <w:lang w:eastAsia="ru-RU"/>
        </w:rPr>
        <w:t>Проверка исполнения государственного контракта показала, что данные по ряду объектов недвижимости в представленном ООО «Гео-ГИД» реестре не соответствуют данным бюджетного учета Фонда.</w:t>
      </w:r>
    </w:p>
    <w:p w:rsidR="006B25EE" w:rsidRPr="006B25EE" w:rsidRDefault="006B25EE" w:rsidP="006B25EE">
      <w:pPr>
        <w:shd w:val="clear" w:color="auto" w:fill="FFFFFF"/>
        <w:spacing w:before="100" w:beforeAutospacing="1" w:after="330" w:line="270" w:lineRule="atLeast"/>
        <w:rPr>
          <w:rFonts w:ascii="PTSans" w:eastAsia="Times New Roman" w:hAnsi="PTSans" w:cs="Times New Roman"/>
          <w:color w:val="666666"/>
          <w:sz w:val="20"/>
          <w:szCs w:val="20"/>
          <w:lang w:eastAsia="ru-RU"/>
        </w:rPr>
      </w:pPr>
      <w:r w:rsidRPr="006B25EE">
        <w:rPr>
          <w:rFonts w:ascii="PTSans" w:eastAsia="Times New Roman" w:hAnsi="PTSans" w:cs="Times New Roman"/>
          <w:color w:val="666666"/>
          <w:sz w:val="20"/>
          <w:szCs w:val="20"/>
          <w:lang w:eastAsia="ru-RU"/>
        </w:rPr>
        <w:t>В ходе проверки также выявлены факты ненадлежащего исполнения Фондом и его региональными отделениями своих полномочий в части учета федерального имущества.</w:t>
      </w:r>
    </w:p>
    <w:p w:rsidR="006B25EE" w:rsidRPr="006B25EE" w:rsidRDefault="006B25EE" w:rsidP="006B25EE">
      <w:pPr>
        <w:shd w:val="clear" w:color="auto" w:fill="FFFFFF"/>
        <w:spacing w:before="100" w:beforeAutospacing="1" w:after="330" w:line="270" w:lineRule="atLeast"/>
        <w:rPr>
          <w:rFonts w:ascii="PTSans" w:eastAsia="Times New Roman" w:hAnsi="PTSans" w:cs="Times New Roman"/>
          <w:color w:val="666666"/>
          <w:sz w:val="20"/>
          <w:szCs w:val="20"/>
          <w:lang w:eastAsia="ru-RU"/>
        </w:rPr>
      </w:pPr>
      <w:r w:rsidRPr="006B25EE">
        <w:rPr>
          <w:rFonts w:ascii="PTSans" w:eastAsia="Times New Roman" w:hAnsi="PTSans" w:cs="Times New Roman"/>
          <w:color w:val="666666"/>
          <w:sz w:val="20"/>
          <w:szCs w:val="20"/>
          <w:lang w:eastAsia="ru-RU"/>
        </w:rPr>
        <w:t>Так, в 2015 г. Фонд не направил в территориальный орган Росимущества сведения о приобретенных основных средствах стоимостью свыше 500 тыс. руб.</w:t>
      </w:r>
    </w:p>
    <w:p w:rsidR="006B25EE" w:rsidRPr="006B25EE" w:rsidRDefault="006B25EE" w:rsidP="006B25EE">
      <w:pPr>
        <w:shd w:val="clear" w:color="auto" w:fill="FFFFFF"/>
        <w:spacing w:before="100" w:beforeAutospacing="1" w:after="330" w:line="270" w:lineRule="atLeast"/>
        <w:rPr>
          <w:rFonts w:ascii="PTSans" w:eastAsia="Times New Roman" w:hAnsi="PTSans" w:cs="Times New Roman"/>
          <w:color w:val="666666"/>
          <w:sz w:val="20"/>
          <w:szCs w:val="20"/>
          <w:lang w:eastAsia="ru-RU"/>
        </w:rPr>
      </w:pPr>
      <w:r w:rsidRPr="006B25EE">
        <w:rPr>
          <w:rFonts w:ascii="PTSans" w:eastAsia="Times New Roman" w:hAnsi="PTSans" w:cs="Times New Roman"/>
          <w:color w:val="666666"/>
          <w:sz w:val="20"/>
          <w:szCs w:val="20"/>
          <w:lang w:eastAsia="ru-RU"/>
        </w:rPr>
        <w:t>Московским региональным отделением Фонда в территориальный орган Росимущества в 2015 г. не представлены копии годовой бухгалтерской (финансовой) отчетности и копии соответствующих инвентаризационных описей и актов инвентаризации по результатам обязательной инвентаризации, проводимой перед составлением годовой бухгалтерской (финансовой) отчетности.</w:t>
      </w:r>
    </w:p>
    <w:p w:rsidR="006B25EE" w:rsidRPr="006B25EE" w:rsidRDefault="006B25EE" w:rsidP="006B25EE">
      <w:pPr>
        <w:shd w:val="clear" w:color="auto" w:fill="FFFFFF"/>
        <w:spacing w:before="100" w:beforeAutospacing="1" w:after="330" w:line="270" w:lineRule="atLeast"/>
        <w:rPr>
          <w:rFonts w:ascii="PTSans" w:eastAsia="Times New Roman" w:hAnsi="PTSans" w:cs="Times New Roman"/>
          <w:color w:val="666666"/>
          <w:sz w:val="20"/>
          <w:szCs w:val="20"/>
          <w:lang w:eastAsia="ru-RU"/>
        </w:rPr>
      </w:pPr>
      <w:r w:rsidRPr="006B25EE">
        <w:rPr>
          <w:rFonts w:ascii="PTSans" w:eastAsia="Times New Roman" w:hAnsi="PTSans" w:cs="Times New Roman"/>
          <w:color w:val="666666"/>
          <w:sz w:val="20"/>
          <w:szCs w:val="20"/>
          <w:lang w:eastAsia="ru-RU"/>
        </w:rPr>
        <w:t xml:space="preserve">Внутренний финансовый контроль Фондом в 2015 г. не проводился. План внутреннего финансового аудита на 2016 г. не утверждался. </w:t>
      </w:r>
    </w:p>
    <w:p w:rsidR="006B25EE" w:rsidRPr="006B25EE" w:rsidRDefault="006B25EE" w:rsidP="006B25EE">
      <w:pPr>
        <w:shd w:val="clear" w:color="auto" w:fill="FFFFFF"/>
        <w:spacing w:before="100" w:beforeAutospacing="1" w:after="330" w:line="270" w:lineRule="atLeast"/>
        <w:rPr>
          <w:rFonts w:ascii="PTSans" w:eastAsia="Times New Roman" w:hAnsi="PTSans" w:cs="Times New Roman"/>
          <w:color w:val="666666"/>
          <w:sz w:val="20"/>
          <w:szCs w:val="20"/>
          <w:lang w:eastAsia="ru-RU"/>
        </w:rPr>
      </w:pPr>
      <w:r w:rsidRPr="006B25EE">
        <w:rPr>
          <w:rFonts w:ascii="PTSans" w:eastAsia="Times New Roman" w:hAnsi="PTSans" w:cs="Times New Roman"/>
          <w:color w:val="666666"/>
          <w:sz w:val="20"/>
          <w:szCs w:val="20"/>
          <w:lang w:eastAsia="ru-RU"/>
        </w:rPr>
        <w:t>По итогам проверки направлены представления в ФСС и Московское региональное отделение ФСС, информационные письма - в Правительство Российской Федерации, Минтруд России и ФАС России. Заключение об исполнении федерального бюджета ФСС за 2015 г. направляется в палаты Федерального Собрания.</w:t>
      </w:r>
    </w:p>
    <w:p w:rsidR="006B25EE" w:rsidRPr="006B25EE" w:rsidRDefault="006B25EE" w:rsidP="006B25EE">
      <w:pPr>
        <w:shd w:val="clear" w:color="auto" w:fill="FFFFFF"/>
        <w:spacing w:before="100" w:beforeAutospacing="1" w:after="330" w:line="270" w:lineRule="atLeast"/>
        <w:rPr>
          <w:rFonts w:ascii="PTSans" w:eastAsia="Times New Roman" w:hAnsi="PTSans" w:cs="Times New Roman"/>
          <w:color w:val="666666"/>
          <w:sz w:val="20"/>
          <w:szCs w:val="20"/>
          <w:lang w:eastAsia="ru-RU"/>
        </w:rPr>
      </w:pPr>
      <w:r w:rsidRPr="006B25EE">
        <w:rPr>
          <w:rFonts w:ascii="PTSansBold" w:eastAsia="Times New Roman" w:hAnsi="PTSansBold" w:cs="Times New Roman"/>
          <w:b/>
          <w:bCs/>
          <w:color w:val="666666"/>
          <w:sz w:val="20"/>
          <w:szCs w:val="20"/>
          <w:lang w:eastAsia="ru-RU"/>
        </w:rPr>
        <w:t>ФОМС</w:t>
      </w:r>
    </w:p>
    <w:p w:rsidR="006B25EE" w:rsidRPr="006B25EE" w:rsidRDefault="006B25EE" w:rsidP="006B25EE">
      <w:pPr>
        <w:shd w:val="clear" w:color="auto" w:fill="FFFFFF"/>
        <w:spacing w:before="100" w:beforeAutospacing="1" w:after="330" w:line="270" w:lineRule="atLeast"/>
        <w:rPr>
          <w:rFonts w:ascii="PTSans" w:eastAsia="Times New Roman" w:hAnsi="PTSans" w:cs="Times New Roman"/>
          <w:color w:val="666666"/>
          <w:sz w:val="20"/>
          <w:szCs w:val="20"/>
          <w:lang w:eastAsia="ru-RU"/>
        </w:rPr>
      </w:pPr>
      <w:r w:rsidRPr="006B25EE">
        <w:rPr>
          <w:rFonts w:ascii="PTSans" w:eastAsia="Times New Roman" w:hAnsi="PTSans" w:cs="Times New Roman"/>
          <w:color w:val="666666"/>
          <w:sz w:val="20"/>
          <w:szCs w:val="20"/>
          <w:lang w:eastAsia="ru-RU"/>
        </w:rPr>
        <w:t xml:space="preserve">В </w:t>
      </w:r>
      <w:hyperlink r:id="rId10" w:history="1">
        <w:r w:rsidRPr="006B25EE">
          <w:rPr>
            <w:rFonts w:ascii="PTSans" w:eastAsia="Times New Roman" w:hAnsi="PTSans" w:cs="Times New Roman"/>
            <w:color w:val="18A4C1"/>
            <w:sz w:val="20"/>
            <w:szCs w:val="20"/>
            <w:u w:val="single"/>
            <w:lang w:eastAsia="ru-RU"/>
          </w:rPr>
          <w:t>Заключении</w:t>
        </w:r>
      </w:hyperlink>
      <w:r w:rsidRPr="006B25EE">
        <w:rPr>
          <w:rFonts w:ascii="PTSans" w:eastAsia="Times New Roman" w:hAnsi="PTSans" w:cs="Times New Roman"/>
          <w:color w:val="666666"/>
          <w:sz w:val="20"/>
          <w:szCs w:val="20"/>
          <w:lang w:eastAsia="ru-RU"/>
        </w:rPr>
        <w:t xml:space="preserve"> Счетной палаты об исполнении в 2015 г. бюджета Федерального фонда обязательного медицинского страхования (далее – ФОМС) отмечается, что в связи с выявленными в ходе проверки нарушениями при проведении инвентаризации материальных и нематериальных активов достоверность бюджетной отчетности Фонда вызывает сомнение. В частности, проверка показала, что при проведении инвентаризации один из членов комиссии находился на лечении в больнице и при этом подписал акты инвентаризации. При этом постоянный состав комиссии не утвержден, а устанавливается ежегодно. По этим фактам подготовлено письмо в Минфин России.</w:t>
      </w:r>
    </w:p>
    <w:p w:rsidR="006B25EE" w:rsidRPr="006B25EE" w:rsidRDefault="006B25EE" w:rsidP="006B25EE">
      <w:pPr>
        <w:shd w:val="clear" w:color="auto" w:fill="FFFFFF"/>
        <w:spacing w:before="100" w:beforeAutospacing="1" w:after="330" w:line="270" w:lineRule="atLeast"/>
        <w:rPr>
          <w:rFonts w:ascii="PTSans" w:eastAsia="Times New Roman" w:hAnsi="PTSans" w:cs="Times New Roman"/>
          <w:color w:val="666666"/>
          <w:sz w:val="20"/>
          <w:szCs w:val="20"/>
          <w:lang w:eastAsia="ru-RU"/>
        </w:rPr>
      </w:pPr>
      <w:r w:rsidRPr="006B25EE">
        <w:rPr>
          <w:rFonts w:ascii="PTSans" w:eastAsia="Times New Roman" w:hAnsi="PTSans" w:cs="Times New Roman"/>
          <w:color w:val="666666"/>
          <w:sz w:val="20"/>
          <w:szCs w:val="20"/>
          <w:lang w:eastAsia="ru-RU"/>
        </w:rPr>
        <w:t xml:space="preserve">Согласно Заключению Счетной палаты, в 2015 г. бюджет ФОМС исполнен </w:t>
      </w:r>
      <w:r w:rsidRPr="006B25EE">
        <w:rPr>
          <w:rFonts w:ascii="PTSansBold" w:eastAsia="Times New Roman" w:hAnsi="PTSansBold" w:cs="Times New Roman"/>
          <w:b/>
          <w:bCs/>
          <w:color w:val="666666"/>
          <w:sz w:val="20"/>
          <w:szCs w:val="20"/>
          <w:lang w:eastAsia="ru-RU"/>
        </w:rPr>
        <w:t>по доходам</w:t>
      </w:r>
      <w:r w:rsidRPr="006B25EE">
        <w:rPr>
          <w:rFonts w:ascii="PTSans" w:eastAsia="Times New Roman" w:hAnsi="PTSans" w:cs="Times New Roman"/>
          <w:color w:val="666666"/>
          <w:sz w:val="20"/>
          <w:szCs w:val="20"/>
          <w:lang w:eastAsia="ru-RU"/>
        </w:rPr>
        <w:t xml:space="preserve"> в сумме 1 573,5 млрд руб. (97,1% запланированного объема), по расходам в сумме 1 638,8 млрд руб. (98,6%).</w:t>
      </w:r>
    </w:p>
    <w:p w:rsidR="006B25EE" w:rsidRPr="006B25EE" w:rsidRDefault="006B25EE" w:rsidP="006B25EE">
      <w:pPr>
        <w:shd w:val="clear" w:color="auto" w:fill="FFFFFF"/>
        <w:spacing w:before="100" w:beforeAutospacing="1" w:after="330" w:line="270" w:lineRule="atLeast"/>
        <w:rPr>
          <w:rFonts w:ascii="PTSans" w:eastAsia="Times New Roman" w:hAnsi="PTSans" w:cs="Times New Roman"/>
          <w:color w:val="666666"/>
          <w:sz w:val="20"/>
          <w:szCs w:val="20"/>
          <w:lang w:eastAsia="ru-RU"/>
        </w:rPr>
      </w:pPr>
      <w:r w:rsidRPr="006B25EE">
        <w:rPr>
          <w:rFonts w:ascii="PTSans" w:eastAsia="Times New Roman" w:hAnsi="PTSans" w:cs="Times New Roman"/>
          <w:color w:val="666666"/>
          <w:sz w:val="20"/>
          <w:szCs w:val="20"/>
          <w:lang w:eastAsia="ru-RU"/>
        </w:rPr>
        <w:t xml:space="preserve">По результатам исполнения бюджета Фонда в 2015 г. сложился </w:t>
      </w:r>
      <w:r w:rsidRPr="006B25EE">
        <w:rPr>
          <w:rFonts w:ascii="PTSansBold" w:eastAsia="Times New Roman" w:hAnsi="PTSansBold" w:cs="Times New Roman"/>
          <w:b/>
          <w:bCs/>
          <w:color w:val="666666"/>
          <w:sz w:val="20"/>
          <w:szCs w:val="20"/>
          <w:lang w:eastAsia="ru-RU"/>
        </w:rPr>
        <w:t xml:space="preserve">дефицит </w:t>
      </w:r>
      <w:r w:rsidRPr="006B25EE">
        <w:rPr>
          <w:rFonts w:ascii="PTSans" w:eastAsia="Times New Roman" w:hAnsi="PTSans" w:cs="Times New Roman"/>
          <w:color w:val="666666"/>
          <w:sz w:val="20"/>
          <w:szCs w:val="20"/>
          <w:lang w:eastAsia="ru-RU"/>
        </w:rPr>
        <w:t>в сумме 65,3 млрд руб.</w:t>
      </w:r>
      <w:r w:rsidRPr="006B25EE">
        <w:rPr>
          <w:rFonts w:ascii="PTSansBold" w:eastAsia="Times New Roman" w:hAnsi="PTSansBold" w:cs="Times New Roman"/>
          <w:b/>
          <w:bCs/>
          <w:color w:val="666666"/>
          <w:sz w:val="20"/>
          <w:szCs w:val="20"/>
          <w:lang w:eastAsia="ru-RU"/>
        </w:rPr>
        <w:t xml:space="preserve">, </w:t>
      </w:r>
      <w:r w:rsidRPr="006B25EE">
        <w:rPr>
          <w:rFonts w:ascii="PTSans" w:eastAsia="Times New Roman" w:hAnsi="PTSans" w:cs="Times New Roman"/>
          <w:color w:val="666666"/>
          <w:sz w:val="20"/>
          <w:szCs w:val="20"/>
          <w:lang w:eastAsia="ru-RU"/>
        </w:rPr>
        <w:t>что на 22 млрд руб. выше планируемого объема. Основная причина сложившегося дефицита - недовыполнение плановых показателей по поступлениям доходов от страховых взносов на ОМС работающего населения (не поступило 46,3 млрд руб.). При этом по состоянию на 1 января 2016 г. сумма задолженности по страховым взносам на ОМС работающего населения (недоимка) по Российской Федерации составила 42,1 млрд руб.</w:t>
      </w:r>
    </w:p>
    <w:p w:rsidR="006B25EE" w:rsidRPr="006B25EE" w:rsidRDefault="006B25EE" w:rsidP="006B25EE">
      <w:pPr>
        <w:shd w:val="clear" w:color="auto" w:fill="FFFFFF"/>
        <w:spacing w:before="100" w:beforeAutospacing="1" w:after="330" w:line="270" w:lineRule="atLeast"/>
        <w:rPr>
          <w:rFonts w:ascii="PTSans" w:eastAsia="Times New Roman" w:hAnsi="PTSans" w:cs="Times New Roman"/>
          <w:color w:val="666666"/>
          <w:sz w:val="20"/>
          <w:szCs w:val="20"/>
          <w:lang w:eastAsia="ru-RU"/>
        </w:rPr>
      </w:pPr>
      <w:r w:rsidRPr="006B25EE">
        <w:rPr>
          <w:rFonts w:ascii="PTSans" w:eastAsia="Times New Roman" w:hAnsi="PTSans" w:cs="Times New Roman"/>
          <w:color w:val="666666"/>
          <w:sz w:val="20"/>
          <w:szCs w:val="20"/>
          <w:lang w:eastAsia="ru-RU"/>
        </w:rPr>
        <w:t xml:space="preserve">В ходе проверки исполнения бюджета ФОМС за 2015 г. были выявлены многочисленные нарушения и недостатки, в том числе недочеты прогнозирования доходной части, о чем свидетельствует значительное превышение запланированного объема поступления налоговых доходов – в 48 раз. </w:t>
      </w:r>
    </w:p>
    <w:p w:rsidR="006B25EE" w:rsidRPr="006B25EE" w:rsidRDefault="006B25EE" w:rsidP="006B25EE">
      <w:pPr>
        <w:shd w:val="clear" w:color="auto" w:fill="FFFFFF"/>
        <w:spacing w:before="100" w:beforeAutospacing="1" w:after="330" w:line="270" w:lineRule="atLeast"/>
        <w:rPr>
          <w:rFonts w:ascii="PTSans" w:eastAsia="Times New Roman" w:hAnsi="PTSans" w:cs="Times New Roman"/>
          <w:color w:val="666666"/>
          <w:sz w:val="20"/>
          <w:szCs w:val="20"/>
          <w:lang w:eastAsia="ru-RU"/>
        </w:rPr>
      </w:pPr>
      <w:r w:rsidRPr="006B25EE">
        <w:rPr>
          <w:rFonts w:ascii="PTSans" w:eastAsia="Times New Roman" w:hAnsi="PTSans" w:cs="Times New Roman"/>
          <w:color w:val="666666"/>
          <w:sz w:val="20"/>
          <w:szCs w:val="20"/>
          <w:lang w:eastAsia="ru-RU"/>
        </w:rPr>
        <w:t>Как показала проверка, основную сумму доходов бюджета Фонда в 2015 г. составляли страховые взносы на обязательное медицинское страхование работающего и неработающего населения (58,6% и 39,2% соответственно). В составе неналоговых доходов общая сумма поступивших страховых взносов на ОМС составила 1,5 трлн руб.</w:t>
      </w:r>
    </w:p>
    <w:p w:rsidR="006B25EE" w:rsidRPr="006B25EE" w:rsidRDefault="006B25EE" w:rsidP="006B25EE">
      <w:pPr>
        <w:shd w:val="clear" w:color="auto" w:fill="FFFFFF"/>
        <w:spacing w:before="100" w:beforeAutospacing="1" w:after="330" w:line="270" w:lineRule="atLeast"/>
        <w:rPr>
          <w:rFonts w:ascii="PTSans" w:eastAsia="Times New Roman" w:hAnsi="PTSans" w:cs="Times New Roman"/>
          <w:color w:val="666666"/>
          <w:sz w:val="20"/>
          <w:szCs w:val="20"/>
          <w:lang w:eastAsia="ru-RU"/>
        </w:rPr>
      </w:pPr>
      <w:r w:rsidRPr="006B25EE">
        <w:rPr>
          <w:rFonts w:ascii="PTSans" w:eastAsia="Times New Roman" w:hAnsi="PTSans" w:cs="Times New Roman"/>
          <w:color w:val="666666"/>
          <w:sz w:val="20"/>
          <w:szCs w:val="20"/>
          <w:lang w:eastAsia="ru-RU"/>
        </w:rPr>
        <w:t xml:space="preserve">При этом ФОМС не в полной мере исполняет свои полномочия по контролю за уплатой регионами страховых взносов за неработающее население. На 1 января 2016 г. общая задолженность по взносам и пеням составила почти 1,5 млрд руб. </w:t>
      </w:r>
    </w:p>
    <w:p w:rsidR="006B25EE" w:rsidRPr="006B25EE" w:rsidRDefault="006B25EE" w:rsidP="006B25EE">
      <w:pPr>
        <w:shd w:val="clear" w:color="auto" w:fill="FFFFFF"/>
        <w:spacing w:before="100" w:beforeAutospacing="1" w:after="330" w:line="270" w:lineRule="atLeast"/>
        <w:rPr>
          <w:rFonts w:ascii="PTSans" w:eastAsia="Times New Roman" w:hAnsi="PTSans" w:cs="Times New Roman"/>
          <w:color w:val="666666"/>
          <w:sz w:val="20"/>
          <w:szCs w:val="20"/>
          <w:lang w:eastAsia="ru-RU"/>
        </w:rPr>
      </w:pPr>
      <w:r w:rsidRPr="006B25EE">
        <w:rPr>
          <w:rFonts w:ascii="PTSans" w:eastAsia="Times New Roman" w:hAnsi="PTSans" w:cs="Times New Roman"/>
          <w:color w:val="666666"/>
          <w:sz w:val="20"/>
          <w:szCs w:val="20"/>
          <w:lang w:eastAsia="ru-RU"/>
        </w:rPr>
        <w:t>Так, Республики Дагестан и Калмыкия (в декабре 2015 г.) и Республика Северная Осетия-Алания (в декабре 2014 г.) не перечислили взносы за неработающих в общей сумме почти 1,3 млрд руб. Основная причина – дефицит региональных бюджетов.</w:t>
      </w:r>
    </w:p>
    <w:p w:rsidR="006B25EE" w:rsidRPr="006B25EE" w:rsidRDefault="006B25EE" w:rsidP="006B25EE">
      <w:pPr>
        <w:shd w:val="clear" w:color="auto" w:fill="FFFFFF"/>
        <w:spacing w:before="100" w:beforeAutospacing="1" w:after="330" w:line="270" w:lineRule="atLeast"/>
        <w:rPr>
          <w:rFonts w:ascii="PTSans" w:eastAsia="Times New Roman" w:hAnsi="PTSans" w:cs="Times New Roman"/>
          <w:color w:val="666666"/>
          <w:sz w:val="20"/>
          <w:szCs w:val="20"/>
          <w:lang w:eastAsia="ru-RU"/>
        </w:rPr>
      </w:pPr>
      <w:r w:rsidRPr="006B25EE">
        <w:rPr>
          <w:rFonts w:ascii="PTSans" w:eastAsia="Times New Roman" w:hAnsi="PTSans" w:cs="Times New Roman"/>
          <w:color w:val="666666"/>
          <w:sz w:val="20"/>
          <w:szCs w:val="20"/>
          <w:lang w:eastAsia="ru-RU"/>
        </w:rPr>
        <w:t xml:space="preserve">Кроме того, 15 регионов имеют задолженность по пеням и штрафам за несвоевременное перечисление в Федеральный фонд ОМС взносов за неработающее население в размере 150 млн руб. Полномочия по взысканию задолженности лежит на терфондах ОМС. Соответствующие меры принуждения ФОМС не применялись. При этом ответственность за невзыскание законодательно не предусмотрена. </w:t>
      </w:r>
    </w:p>
    <w:p w:rsidR="006B25EE" w:rsidRPr="006B25EE" w:rsidRDefault="006B25EE" w:rsidP="006B25EE">
      <w:pPr>
        <w:shd w:val="clear" w:color="auto" w:fill="FFFFFF"/>
        <w:spacing w:before="100" w:beforeAutospacing="1" w:after="330" w:line="270" w:lineRule="atLeast"/>
        <w:rPr>
          <w:rFonts w:ascii="PTSans" w:eastAsia="Times New Roman" w:hAnsi="PTSans" w:cs="Times New Roman"/>
          <w:color w:val="666666"/>
          <w:sz w:val="20"/>
          <w:szCs w:val="20"/>
          <w:lang w:eastAsia="ru-RU"/>
        </w:rPr>
      </w:pPr>
      <w:r w:rsidRPr="006B25EE">
        <w:rPr>
          <w:rFonts w:ascii="PTSans" w:eastAsia="Times New Roman" w:hAnsi="PTSans" w:cs="Times New Roman"/>
          <w:color w:val="666666"/>
          <w:sz w:val="20"/>
          <w:szCs w:val="20"/>
          <w:lang w:eastAsia="ru-RU"/>
        </w:rPr>
        <w:t xml:space="preserve">Проверка исполнения расходов Федерального фонда ОМС показала, что в 2015 г. ФОМС перечислили в бюджеты терфондов субвенцию на оказание медпомощи в сумме 1,4 трлн руб. На 1 января 2016 г. в бюджетах терфондов образовались остатки в сумме почти 5,5 млрд руб., подлежащие возврату в бюджет ФОМС. При этом в нарушение пункта 5 статьи 242 Бюджетного кодекса Российской Федерации терфонды Ростовской области и Пермского края не перечислили в Фонд остатки субвенции в размере почти 400 млн руб. Соответствующие меры по взысканию указанных средств были приняты Фондом только в ходе проверки Счетной палаты. </w:t>
      </w:r>
    </w:p>
    <w:p w:rsidR="006B25EE" w:rsidRPr="006B25EE" w:rsidRDefault="006B25EE" w:rsidP="006B25EE">
      <w:pPr>
        <w:shd w:val="clear" w:color="auto" w:fill="FFFFFF"/>
        <w:spacing w:before="100" w:beforeAutospacing="1" w:after="330" w:line="270" w:lineRule="atLeast"/>
        <w:rPr>
          <w:rFonts w:ascii="PTSans" w:eastAsia="Times New Roman" w:hAnsi="PTSans" w:cs="Times New Roman"/>
          <w:color w:val="666666"/>
          <w:sz w:val="20"/>
          <w:szCs w:val="20"/>
          <w:lang w:eastAsia="ru-RU"/>
        </w:rPr>
      </w:pPr>
      <w:r w:rsidRPr="006B25EE">
        <w:rPr>
          <w:rFonts w:ascii="PTSans" w:eastAsia="Times New Roman" w:hAnsi="PTSans" w:cs="Times New Roman"/>
          <w:color w:val="666666"/>
          <w:sz w:val="20"/>
          <w:szCs w:val="20"/>
          <w:lang w:eastAsia="ru-RU"/>
        </w:rPr>
        <w:t xml:space="preserve">В заключении Счетной палаты также отмечается, что в связи с неполным исполнением ФОМС своих расходных обязательств до федерального бюджета не доведена дотация на сбалансированность в сумме свыше 24 млрд руб. </w:t>
      </w:r>
    </w:p>
    <w:p w:rsidR="006B25EE" w:rsidRPr="006B25EE" w:rsidRDefault="006B25EE" w:rsidP="006B25EE">
      <w:pPr>
        <w:shd w:val="clear" w:color="auto" w:fill="FFFFFF"/>
        <w:spacing w:before="100" w:beforeAutospacing="1" w:after="330" w:line="270" w:lineRule="atLeast"/>
        <w:rPr>
          <w:rFonts w:ascii="PTSans" w:eastAsia="Times New Roman" w:hAnsi="PTSans" w:cs="Times New Roman"/>
          <w:color w:val="666666"/>
          <w:sz w:val="20"/>
          <w:szCs w:val="20"/>
          <w:lang w:eastAsia="ru-RU"/>
        </w:rPr>
      </w:pPr>
      <w:r w:rsidRPr="006B25EE">
        <w:rPr>
          <w:rFonts w:ascii="PTSans" w:eastAsia="Times New Roman" w:hAnsi="PTSans" w:cs="Times New Roman"/>
          <w:color w:val="666666"/>
          <w:sz w:val="20"/>
          <w:szCs w:val="20"/>
          <w:lang w:eastAsia="ru-RU"/>
        </w:rPr>
        <w:t>Проверкой также установлено, что терфонды ОМС 45 регионов направили в Фонд заявки на изготовление электронных полисов при отсутствии у этих регионов соответствующей технической возможности по их обращению, что противоречит Правилам обязательного медицинского страхования (утверждены приказом Минздравсоцразвития России от 28 февраля 2011 г. № 158н). При этом ФОМС в ходе своих контрольных мероприятий, проведенных в 2015 г., данное несоответствие не выявил и мер, в том числе по прекращению изготовления электронных полисов для указанных регионов, не принял. В 2015 г. расходы на их изготовление почти 3 млн электронных полисов составили 570 млн руб. При этом стоимость изготовления электронного полиса в 4 раза превышает стоимость изготовления бумажного полиса.</w:t>
      </w:r>
    </w:p>
    <w:p w:rsidR="006B25EE" w:rsidRPr="006B25EE" w:rsidRDefault="006B25EE" w:rsidP="006B25EE">
      <w:pPr>
        <w:shd w:val="clear" w:color="auto" w:fill="FFFFFF"/>
        <w:spacing w:before="100" w:beforeAutospacing="1" w:after="330" w:line="270" w:lineRule="atLeast"/>
        <w:rPr>
          <w:rFonts w:ascii="PTSans" w:eastAsia="Times New Roman" w:hAnsi="PTSans" w:cs="Times New Roman"/>
          <w:color w:val="666666"/>
          <w:sz w:val="20"/>
          <w:szCs w:val="20"/>
          <w:lang w:eastAsia="ru-RU"/>
        </w:rPr>
      </w:pPr>
      <w:r w:rsidRPr="006B25EE">
        <w:rPr>
          <w:rFonts w:ascii="PTSans" w:eastAsia="Times New Roman" w:hAnsi="PTSans" w:cs="Times New Roman"/>
          <w:color w:val="666666"/>
          <w:sz w:val="20"/>
          <w:szCs w:val="20"/>
          <w:lang w:eastAsia="ru-RU"/>
        </w:rPr>
        <w:t xml:space="preserve">В числе нарушений также отмечается заключение и оплата контрактов на реализацию мероприятий по информатизации в сумме 60,7 млн руб. до утверждения плана информатизации. </w:t>
      </w:r>
    </w:p>
    <w:p w:rsidR="006B25EE" w:rsidRPr="006B25EE" w:rsidRDefault="006B25EE" w:rsidP="006B25EE">
      <w:pPr>
        <w:shd w:val="clear" w:color="auto" w:fill="FFFFFF"/>
        <w:spacing w:before="100" w:beforeAutospacing="1" w:after="330" w:line="270" w:lineRule="atLeast"/>
        <w:rPr>
          <w:rFonts w:ascii="PTSans" w:eastAsia="Times New Roman" w:hAnsi="PTSans" w:cs="Times New Roman"/>
          <w:color w:val="666666"/>
          <w:sz w:val="20"/>
          <w:szCs w:val="20"/>
          <w:lang w:eastAsia="ru-RU"/>
        </w:rPr>
      </w:pPr>
      <w:r w:rsidRPr="006B25EE">
        <w:rPr>
          <w:rFonts w:ascii="PTSans" w:eastAsia="Times New Roman" w:hAnsi="PTSans" w:cs="Times New Roman"/>
          <w:color w:val="666666"/>
          <w:sz w:val="20"/>
          <w:szCs w:val="20"/>
          <w:lang w:eastAsia="ru-RU"/>
        </w:rPr>
        <w:t xml:space="preserve">Кроме того, в нарушение Указа Президента об оплате труда председателей внебюджетных фондов в приказе ФОМС по Системе оплаты труда была сохранена норма, дающая право Министру здравоохранения принимать решения по выплате премии Председателю Фонда. При этом в положении о Минздраве России такая норма отсутствует. </w:t>
      </w:r>
    </w:p>
    <w:p w:rsidR="006B25EE" w:rsidRPr="006B25EE" w:rsidRDefault="006B25EE" w:rsidP="006B25EE">
      <w:pPr>
        <w:shd w:val="clear" w:color="auto" w:fill="FFFFFF"/>
        <w:spacing w:before="100" w:beforeAutospacing="1" w:after="330" w:line="270" w:lineRule="atLeast"/>
        <w:rPr>
          <w:rFonts w:ascii="PTSans" w:eastAsia="Times New Roman" w:hAnsi="PTSans" w:cs="Times New Roman"/>
          <w:color w:val="666666"/>
          <w:sz w:val="20"/>
          <w:szCs w:val="20"/>
          <w:lang w:eastAsia="ru-RU"/>
        </w:rPr>
      </w:pPr>
      <w:r w:rsidRPr="006B25EE">
        <w:rPr>
          <w:rFonts w:ascii="PTSans" w:eastAsia="Times New Roman" w:hAnsi="PTSans" w:cs="Times New Roman"/>
          <w:color w:val="666666"/>
          <w:sz w:val="20"/>
          <w:szCs w:val="20"/>
          <w:lang w:eastAsia="ru-RU"/>
        </w:rPr>
        <w:t>В результате, в IV квартале 2015 г. председателю ФОМС была установлена премия за выполнение особо важных и ответственных поручений и сложных работ в размере 6 месячных оплат труда в сумме 1,8 млн руб.</w:t>
      </w:r>
    </w:p>
    <w:p w:rsidR="006B25EE" w:rsidRPr="006B25EE" w:rsidRDefault="006B25EE" w:rsidP="006B25EE">
      <w:pPr>
        <w:shd w:val="clear" w:color="auto" w:fill="FFFFFF"/>
        <w:spacing w:before="100" w:beforeAutospacing="1" w:after="330" w:line="270" w:lineRule="atLeast"/>
        <w:rPr>
          <w:rFonts w:ascii="PTSans" w:eastAsia="Times New Roman" w:hAnsi="PTSans" w:cs="Times New Roman"/>
          <w:color w:val="666666"/>
          <w:sz w:val="20"/>
          <w:szCs w:val="20"/>
          <w:lang w:eastAsia="ru-RU"/>
        </w:rPr>
      </w:pPr>
      <w:r w:rsidRPr="006B25EE">
        <w:rPr>
          <w:rFonts w:ascii="PTSans" w:eastAsia="Times New Roman" w:hAnsi="PTSans" w:cs="Times New Roman"/>
          <w:color w:val="666666"/>
          <w:sz w:val="20"/>
          <w:szCs w:val="20"/>
          <w:lang w:eastAsia="ru-RU"/>
        </w:rPr>
        <w:t>Помимо этого, следует отметить, что нормативное регулирование системы оплаты труда работников Фонда не соответствует законодательству и не содержит критерии установления премий работникам, основания их назначения. В результате величина премий не обоснована и различается в 2-3 раза.</w:t>
      </w:r>
    </w:p>
    <w:p w:rsidR="006B25EE" w:rsidRPr="006B25EE" w:rsidRDefault="006B25EE" w:rsidP="006B25EE">
      <w:pPr>
        <w:shd w:val="clear" w:color="auto" w:fill="FFFFFF"/>
        <w:spacing w:before="100" w:beforeAutospacing="1" w:after="330" w:line="270" w:lineRule="atLeast"/>
        <w:rPr>
          <w:rFonts w:ascii="PTSans" w:eastAsia="Times New Roman" w:hAnsi="PTSans" w:cs="Times New Roman"/>
          <w:color w:val="666666"/>
          <w:sz w:val="20"/>
          <w:szCs w:val="20"/>
          <w:lang w:eastAsia="ru-RU"/>
        </w:rPr>
      </w:pPr>
      <w:r w:rsidRPr="006B25EE">
        <w:rPr>
          <w:rFonts w:ascii="PTSans" w:eastAsia="Times New Roman" w:hAnsi="PTSans" w:cs="Times New Roman"/>
          <w:color w:val="666666"/>
          <w:sz w:val="20"/>
          <w:szCs w:val="20"/>
          <w:lang w:eastAsia="ru-RU"/>
        </w:rPr>
        <w:t>По указанным фактам подготовлено письмо Председателю Правительства Российской Федерации.</w:t>
      </w:r>
    </w:p>
    <w:p w:rsidR="006B25EE" w:rsidRPr="006B25EE" w:rsidRDefault="006B25EE" w:rsidP="006B25EE">
      <w:pPr>
        <w:shd w:val="clear" w:color="auto" w:fill="FFFFFF"/>
        <w:spacing w:before="100" w:beforeAutospacing="1" w:after="330" w:line="270" w:lineRule="atLeast"/>
        <w:rPr>
          <w:rFonts w:ascii="PTSans" w:eastAsia="Times New Roman" w:hAnsi="PTSans" w:cs="Times New Roman"/>
          <w:color w:val="666666"/>
          <w:sz w:val="20"/>
          <w:szCs w:val="20"/>
          <w:lang w:eastAsia="ru-RU"/>
        </w:rPr>
      </w:pPr>
      <w:r w:rsidRPr="006B25EE">
        <w:rPr>
          <w:rFonts w:ascii="PTSans" w:eastAsia="Times New Roman" w:hAnsi="PTSans" w:cs="Times New Roman"/>
          <w:color w:val="666666"/>
          <w:sz w:val="20"/>
          <w:szCs w:val="20"/>
          <w:lang w:eastAsia="ru-RU"/>
        </w:rPr>
        <w:t>На Коллегии было отмечено, что в 2015 г. в территориальных фондах работало почти 14 тысяч человек, на деятельность которых было выделено свыше 13 млрд руб., что на 500 млн руб. больше, чем в 2014 г. Однако одни и те же замечания и нарушения выявляются каждый год, усугубляясь новыми. Свои полномочия терфонды в полном объеме не выполняют, при этом ответственность за неисполнение их функций не установлена.</w:t>
      </w:r>
    </w:p>
    <w:p w:rsidR="006B25EE" w:rsidRPr="006B25EE" w:rsidRDefault="006B25EE" w:rsidP="006B25EE">
      <w:pPr>
        <w:shd w:val="clear" w:color="auto" w:fill="FFFFFF"/>
        <w:spacing w:before="100" w:beforeAutospacing="1" w:after="330" w:line="270" w:lineRule="atLeast"/>
        <w:rPr>
          <w:rFonts w:ascii="PTSans" w:eastAsia="Times New Roman" w:hAnsi="PTSans" w:cs="Times New Roman"/>
          <w:color w:val="666666"/>
          <w:sz w:val="20"/>
          <w:szCs w:val="20"/>
          <w:lang w:eastAsia="ru-RU"/>
        </w:rPr>
      </w:pPr>
      <w:r w:rsidRPr="006B25EE">
        <w:rPr>
          <w:rFonts w:ascii="PTSans" w:eastAsia="Times New Roman" w:hAnsi="PTSans" w:cs="Times New Roman"/>
          <w:color w:val="666666"/>
          <w:sz w:val="20"/>
          <w:szCs w:val="20"/>
          <w:lang w:eastAsia="ru-RU"/>
        </w:rPr>
        <w:t>По итогам проверки направлены представления в ФОМС, информационные письма – в Правительство Российской Федерации, ПФР, Минфин России. Заключение Счетной палаты об исполнении бюджета ФОМС за 2015 г. будет направлено в палаты Федерального Собрания и Правительство Российской Федерации.</w:t>
      </w:r>
    </w:p>
    <w:p w:rsidR="00FD00B9" w:rsidRDefault="006B25EE">
      <w:hyperlink r:id="rId11" w:history="1">
        <w:r w:rsidRPr="008A5CB3">
          <w:rPr>
            <w:rStyle w:val="a3"/>
          </w:rPr>
          <w:t>http://audit.gov.ru/press_center/news/28051</w:t>
        </w:r>
      </w:hyperlink>
    </w:p>
    <w:p w:rsidR="006B25EE" w:rsidRDefault="006B25EE"/>
    <w:sectPr w:rsidR="006B25EE" w:rsidSect="006B25EE">
      <w:headerReference w:type="default" r:id="rId12"/>
      <w:footerReference w:type="default" r:id="rId13"/>
      <w:pgSz w:w="11906" w:h="16838"/>
      <w:pgMar w:top="568"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4499" w:rsidRDefault="00FE4499" w:rsidP="006B25EE">
      <w:pPr>
        <w:spacing w:after="0" w:line="240" w:lineRule="auto"/>
      </w:pPr>
      <w:r>
        <w:separator/>
      </w:r>
    </w:p>
  </w:endnote>
  <w:endnote w:type="continuationSeparator" w:id="0">
    <w:p w:rsidR="00FE4499" w:rsidRDefault="00FE4499" w:rsidP="006B25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PTSansBold">
    <w:altName w:val="Times New Roman"/>
    <w:charset w:val="00"/>
    <w:family w:val="auto"/>
    <w:pitch w:val="default"/>
  </w:font>
  <w:font w:name="Tahoma">
    <w:panose1 w:val="020B0604030504040204"/>
    <w:charset w:val="CC"/>
    <w:family w:val="swiss"/>
    <w:pitch w:val="variable"/>
    <w:sig w:usb0="E1002EFF" w:usb1="C000605B" w:usb2="00000029" w:usb3="00000000" w:csb0="000101FF" w:csb1="00000000"/>
  </w:font>
  <w:font w:name="PTSans">
    <w:altName w:val="Times New Roman"/>
    <w:charset w:val="00"/>
    <w:family w:val="auto"/>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524267"/>
      <w:docPartObj>
        <w:docPartGallery w:val="Page Numbers (Bottom of Page)"/>
        <w:docPartUnique/>
      </w:docPartObj>
    </w:sdtPr>
    <w:sdtContent>
      <w:p w:rsidR="006B25EE" w:rsidRDefault="006B25EE">
        <w:pPr>
          <w:pStyle w:val="a9"/>
          <w:jc w:val="right"/>
        </w:pPr>
        <w:r>
          <w:fldChar w:fldCharType="begin"/>
        </w:r>
        <w:r>
          <w:instrText>PAGE   \* MERGEFORMAT</w:instrText>
        </w:r>
        <w:r>
          <w:fldChar w:fldCharType="separate"/>
        </w:r>
        <w:r w:rsidR="00FE4499">
          <w:rPr>
            <w:noProof/>
          </w:rPr>
          <w:t>1</w:t>
        </w:r>
        <w:r>
          <w:fldChar w:fldCharType="end"/>
        </w:r>
      </w:p>
    </w:sdtContent>
  </w:sdt>
  <w:p w:rsidR="006B25EE" w:rsidRDefault="006B25EE">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4499" w:rsidRDefault="00FE4499" w:rsidP="006B25EE">
      <w:pPr>
        <w:spacing w:after="0" w:line="240" w:lineRule="auto"/>
      </w:pPr>
      <w:r>
        <w:separator/>
      </w:r>
    </w:p>
  </w:footnote>
  <w:footnote w:type="continuationSeparator" w:id="0">
    <w:p w:rsidR="00FE4499" w:rsidRDefault="00FE4499" w:rsidP="006B25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b/>
        <w:color w:val="76923C" w:themeColor="accent3" w:themeShade="BF"/>
        <w:sz w:val="32"/>
        <w:szCs w:val="32"/>
      </w:rPr>
      <w:alias w:val="Название"/>
      <w:id w:val="77738743"/>
      <w:placeholder>
        <w:docPart w:val="CC1AC7838C5345F985D7B7B0560ED7C3"/>
      </w:placeholder>
      <w:dataBinding w:prefixMappings="xmlns:ns0='http://schemas.openxmlformats.org/package/2006/metadata/core-properties' xmlns:ns1='http://purl.org/dc/elements/1.1/'" w:xpath="/ns0:coreProperties[1]/ns1:title[1]" w:storeItemID="{6C3C8BC8-F283-45AE-878A-BAB7291924A1}"/>
      <w:text/>
    </w:sdtPr>
    <w:sdtContent>
      <w:p w:rsidR="006B25EE" w:rsidRDefault="006B25EE">
        <w:pPr>
          <w:pStyle w:val="a7"/>
          <w:pBdr>
            <w:bottom w:val="thickThinSmallGap" w:sz="24" w:space="1" w:color="622423" w:themeColor="accent2" w:themeShade="7F"/>
          </w:pBdr>
          <w:jc w:val="center"/>
          <w:rPr>
            <w:rFonts w:asciiTheme="majorHAnsi" w:eastAsiaTheme="majorEastAsia" w:hAnsiTheme="majorHAnsi" w:cstheme="majorBidi"/>
            <w:sz w:val="32"/>
            <w:szCs w:val="32"/>
          </w:rPr>
        </w:pPr>
        <w:r w:rsidRPr="006B25EE">
          <w:rPr>
            <w:rFonts w:asciiTheme="majorHAnsi" w:eastAsiaTheme="majorEastAsia" w:hAnsiTheme="majorHAnsi" w:cstheme="majorBidi"/>
            <w:b/>
            <w:color w:val="76923C" w:themeColor="accent3" w:themeShade="BF"/>
            <w:sz w:val="32"/>
            <w:szCs w:val="32"/>
          </w:rPr>
          <w:t>ЭЛЕКТРОННЫЙ СБОРНИК СОВЕТА КСО ТОМСКОЙ ОБЛАСТИ</w:t>
        </w:r>
      </w:p>
    </w:sdtContent>
  </w:sdt>
  <w:p w:rsidR="006B25EE" w:rsidRDefault="006B25EE">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5EE"/>
    <w:rsid w:val="006B25EE"/>
    <w:rsid w:val="007C02DE"/>
    <w:rsid w:val="00FD00B9"/>
    <w:rsid w:val="00FE44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B25EE"/>
    <w:pPr>
      <w:spacing w:before="100" w:beforeAutospacing="1" w:after="375" w:line="480" w:lineRule="atLeast"/>
      <w:outlineLvl w:val="0"/>
    </w:pPr>
    <w:rPr>
      <w:rFonts w:ascii="PTSansBold" w:eastAsia="Times New Roman" w:hAnsi="PTSansBold" w:cs="Times New Roman"/>
      <w:color w:val="000000"/>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B25EE"/>
    <w:rPr>
      <w:rFonts w:ascii="PTSansBold" w:eastAsia="Times New Roman" w:hAnsi="PTSansBold" w:cs="Times New Roman"/>
      <w:color w:val="000000"/>
      <w:kern w:val="36"/>
      <w:sz w:val="48"/>
      <w:szCs w:val="48"/>
      <w:lang w:eastAsia="ru-RU"/>
    </w:rPr>
  </w:style>
  <w:style w:type="character" w:styleId="a3">
    <w:name w:val="Hyperlink"/>
    <w:basedOn w:val="a0"/>
    <w:uiPriority w:val="99"/>
    <w:unhideWhenUsed/>
    <w:rsid w:val="006B25EE"/>
    <w:rPr>
      <w:color w:val="18A4C1"/>
      <w:u w:val="single"/>
    </w:rPr>
  </w:style>
  <w:style w:type="paragraph" w:styleId="a4">
    <w:name w:val="Normal (Web)"/>
    <w:basedOn w:val="a"/>
    <w:uiPriority w:val="99"/>
    <w:semiHidden/>
    <w:unhideWhenUsed/>
    <w:rsid w:val="006B25EE"/>
    <w:pPr>
      <w:spacing w:before="100" w:beforeAutospacing="1" w:after="330"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6B25E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B25EE"/>
    <w:rPr>
      <w:rFonts w:ascii="Tahoma" w:hAnsi="Tahoma" w:cs="Tahoma"/>
      <w:sz w:val="16"/>
      <w:szCs w:val="16"/>
    </w:rPr>
  </w:style>
  <w:style w:type="paragraph" w:styleId="a7">
    <w:name w:val="header"/>
    <w:basedOn w:val="a"/>
    <w:link w:val="a8"/>
    <w:uiPriority w:val="99"/>
    <w:unhideWhenUsed/>
    <w:rsid w:val="006B25E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6B25EE"/>
  </w:style>
  <w:style w:type="paragraph" w:styleId="a9">
    <w:name w:val="footer"/>
    <w:basedOn w:val="a"/>
    <w:link w:val="aa"/>
    <w:uiPriority w:val="99"/>
    <w:unhideWhenUsed/>
    <w:rsid w:val="006B25E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B25E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B25EE"/>
    <w:pPr>
      <w:spacing w:before="100" w:beforeAutospacing="1" w:after="375" w:line="480" w:lineRule="atLeast"/>
      <w:outlineLvl w:val="0"/>
    </w:pPr>
    <w:rPr>
      <w:rFonts w:ascii="PTSansBold" w:eastAsia="Times New Roman" w:hAnsi="PTSansBold" w:cs="Times New Roman"/>
      <w:color w:val="000000"/>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B25EE"/>
    <w:rPr>
      <w:rFonts w:ascii="PTSansBold" w:eastAsia="Times New Roman" w:hAnsi="PTSansBold" w:cs="Times New Roman"/>
      <w:color w:val="000000"/>
      <w:kern w:val="36"/>
      <w:sz w:val="48"/>
      <w:szCs w:val="48"/>
      <w:lang w:eastAsia="ru-RU"/>
    </w:rPr>
  </w:style>
  <w:style w:type="character" w:styleId="a3">
    <w:name w:val="Hyperlink"/>
    <w:basedOn w:val="a0"/>
    <w:uiPriority w:val="99"/>
    <w:unhideWhenUsed/>
    <w:rsid w:val="006B25EE"/>
    <w:rPr>
      <w:color w:val="18A4C1"/>
      <w:u w:val="single"/>
    </w:rPr>
  </w:style>
  <w:style w:type="paragraph" w:styleId="a4">
    <w:name w:val="Normal (Web)"/>
    <w:basedOn w:val="a"/>
    <w:uiPriority w:val="99"/>
    <w:semiHidden/>
    <w:unhideWhenUsed/>
    <w:rsid w:val="006B25EE"/>
    <w:pPr>
      <w:spacing w:before="100" w:beforeAutospacing="1" w:after="330"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6B25E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B25EE"/>
    <w:rPr>
      <w:rFonts w:ascii="Tahoma" w:hAnsi="Tahoma" w:cs="Tahoma"/>
      <w:sz w:val="16"/>
      <w:szCs w:val="16"/>
    </w:rPr>
  </w:style>
  <w:style w:type="paragraph" w:styleId="a7">
    <w:name w:val="header"/>
    <w:basedOn w:val="a"/>
    <w:link w:val="a8"/>
    <w:uiPriority w:val="99"/>
    <w:unhideWhenUsed/>
    <w:rsid w:val="006B25E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6B25EE"/>
  </w:style>
  <w:style w:type="paragraph" w:styleId="a9">
    <w:name w:val="footer"/>
    <w:basedOn w:val="a"/>
    <w:link w:val="aa"/>
    <w:uiPriority w:val="99"/>
    <w:unhideWhenUsed/>
    <w:rsid w:val="006B25E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B25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6340775">
      <w:bodyDiv w:val="1"/>
      <w:marLeft w:val="0"/>
      <w:marRight w:val="0"/>
      <w:marTop w:val="0"/>
      <w:marBottom w:val="0"/>
      <w:divBdr>
        <w:top w:val="none" w:sz="0" w:space="0" w:color="auto"/>
        <w:left w:val="none" w:sz="0" w:space="0" w:color="auto"/>
        <w:bottom w:val="none" w:sz="0" w:space="0" w:color="auto"/>
        <w:right w:val="none" w:sz="0" w:space="0" w:color="auto"/>
      </w:divBdr>
      <w:divsChild>
        <w:div w:id="399720519">
          <w:marLeft w:val="0"/>
          <w:marRight w:val="0"/>
          <w:marTop w:val="0"/>
          <w:marBottom w:val="0"/>
          <w:divBdr>
            <w:top w:val="none" w:sz="0" w:space="0" w:color="auto"/>
            <w:left w:val="none" w:sz="0" w:space="0" w:color="auto"/>
            <w:bottom w:val="none" w:sz="0" w:space="0" w:color="auto"/>
            <w:right w:val="none" w:sz="0" w:space="0" w:color="auto"/>
          </w:divBdr>
          <w:divsChild>
            <w:div w:id="22900574">
              <w:marLeft w:val="0"/>
              <w:marRight w:val="0"/>
              <w:marTop w:val="0"/>
              <w:marBottom w:val="0"/>
              <w:divBdr>
                <w:top w:val="none" w:sz="0" w:space="0" w:color="auto"/>
                <w:left w:val="none" w:sz="0" w:space="0" w:color="auto"/>
                <w:bottom w:val="none" w:sz="0" w:space="0" w:color="auto"/>
                <w:right w:val="none" w:sz="0" w:space="0" w:color="auto"/>
              </w:divBdr>
              <w:divsChild>
                <w:div w:id="1221987126">
                  <w:marLeft w:val="0"/>
                  <w:marRight w:val="0"/>
                  <w:marTop w:val="0"/>
                  <w:marBottom w:val="390"/>
                  <w:divBdr>
                    <w:top w:val="none" w:sz="0" w:space="0" w:color="auto"/>
                    <w:left w:val="none" w:sz="0" w:space="0" w:color="auto"/>
                    <w:bottom w:val="none" w:sz="0" w:space="0" w:color="auto"/>
                    <w:right w:val="none" w:sz="0" w:space="0" w:color="auto"/>
                  </w:divBdr>
                </w:div>
                <w:div w:id="39663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udit.gov.ru/activities/audit-of-the-federal-budget/28049/"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audit.gov.ru/activities/audit-of-the-federal-budget/28047/" TargetMode="External"/><Relationship Id="rId12" Type="http://schemas.openxmlformats.org/officeDocument/2006/relationships/header" Target="header1.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audit.gov.ru/press_center/news/28051"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hyperlink" Target="http://audit.gov.ru/activities/audit-of-the-federal-budget/28048/" TargetMode="External"/><Relationship Id="rId4" Type="http://schemas.openxmlformats.org/officeDocument/2006/relationships/webSettings" Target="webSettings.xml"/><Relationship Id="rId9" Type="http://schemas.openxmlformats.org/officeDocument/2006/relationships/hyperlink" Target="http://audit.gov.ru/activities/audit-of-the-federal-budget/28050/"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C1AC7838C5345F985D7B7B0560ED7C3"/>
        <w:category>
          <w:name w:val="Общие"/>
          <w:gallery w:val="placeholder"/>
        </w:category>
        <w:types>
          <w:type w:val="bbPlcHdr"/>
        </w:types>
        <w:behaviors>
          <w:behavior w:val="content"/>
        </w:behaviors>
        <w:guid w:val="{429B60BF-E8B7-4A30-8A2D-C13C46DA3B88}"/>
      </w:docPartPr>
      <w:docPartBody>
        <w:p w:rsidR="00000000" w:rsidRDefault="00B428F4" w:rsidP="00B428F4">
          <w:pPr>
            <w:pStyle w:val="CC1AC7838C5345F985D7B7B0560ED7C3"/>
          </w:pPr>
          <w:r>
            <w:rPr>
              <w:rFonts w:asciiTheme="majorHAnsi" w:eastAsiaTheme="majorEastAsia" w:hAnsiTheme="majorHAnsi" w:cstheme="majorBidi"/>
              <w:sz w:val="32"/>
              <w:szCs w:val="32"/>
            </w:rPr>
            <w:t>[Введите название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PTSansBold">
    <w:altName w:val="Times New Roman"/>
    <w:charset w:val="00"/>
    <w:family w:val="auto"/>
    <w:pitch w:val="default"/>
  </w:font>
  <w:font w:name="Tahoma">
    <w:panose1 w:val="020B0604030504040204"/>
    <w:charset w:val="CC"/>
    <w:family w:val="swiss"/>
    <w:pitch w:val="variable"/>
    <w:sig w:usb0="E1002EFF" w:usb1="C000605B" w:usb2="00000029" w:usb3="00000000" w:csb0="000101FF" w:csb1="00000000"/>
  </w:font>
  <w:font w:name="PTSans">
    <w:altName w:val="Times New Roman"/>
    <w:charset w:val="00"/>
    <w:family w:val="auto"/>
    <w:pitch w:val="default"/>
  </w:font>
  <w:font w:name="Cambria">
    <w:panose1 w:val="02040503050406030204"/>
    <w:charset w:val="CC"/>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28F4"/>
    <w:rsid w:val="00B428F4"/>
    <w:rsid w:val="00BC05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C1AC7838C5345F985D7B7B0560ED7C3">
    <w:name w:val="CC1AC7838C5345F985D7B7B0560ED7C3"/>
    <w:rsid w:val="00B428F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C1AC7838C5345F985D7B7B0560ED7C3">
    <w:name w:val="CC1AC7838C5345F985D7B7B0560ED7C3"/>
    <w:rsid w:val="00B428F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18</Pages>
  <Words>8757</Words>
  <Characters>49920</Characters>
  <Application>Microsoft Office Word</Application>
  <DocSecurity>0</DocSecurity>
  <Lines>416</Lines>
  <Paragraphs>117</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Счетная палата провела анализ исполнения в 2015 г. федерального бюджета, консол</vt:lpstr>
    </vt:vector>
  </TitlesOfParts>
  <Company>Контрольно-счетная палата Томской области</Company>
  <LinksUpToDate>false</LinksUpToDate>
  <CharactersWithSpaces>58560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ЭЛЕКТРОННЫЙ СБОРНИК СОВЕТА КСО ТОМСКОЙ ОБЛАСТИ</dc:title>
  <dc:creator>Губина</dc:creator>
  <cp:lastModifiedBy>Губина</cp:lastModifiedBy>
  <cp:revision>1</cp:revision>
  <dcterms:created xsi:type="dcterms:W3CDTF">2016-10-12T03:04:00Z</dcterms:created>
  <dcterms:modified xsi:type="dcterms:W3CDTF">2016-10-12T03:09:00Z</dcterms:modified>
</cp:coreProperties>
</file>