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3F" w:rsidRPr="008B6B75" w:rsidRDefault="00220B3F" w:rsidP="00220B3F">
      <w:pPr>
        <w:widowControl/>
        <w:autoSpaceDE/>
        <w:autoSpaceDN/>
        <w:adjustRightInd/>
        <w:spacing w:line="25" w:lineRule="atLeast"/>
        <w:ind w:firstLine="708"/>
        <w:jc w:val="center"/>
        <w:rPr>
          <w:b/>
          <w:lang w:eastAsia="ru-RU"/>
        </w:rPr>
      </w:pPr>
      <w:bookmarkStart w:id="0" w:name="_GoBack"/>
      <w:bookmarkEnd w:id="0"/>
      <w:r w:rsidRPr="008B6B75">
        <w:rPr>
          <w:b/>
          <w:lang w:eastAsia="ru-RU"/>
        </w:rPr>
        <w:t>Заключение</w:t>
      </w:r>
    </w:p>
    <w:p w:rsidR="00220B3F" w:rsidRPr="008B6B75" w:rsidRDefault="00220B3F" w:rsidP="00220B3F">
      <w:pPr>
        <w:widowControl/>
        <w:autoSpaceDE/>
        <w:autoSpaceDN/>
        <w:adjustRightInd/>
        <w:spacing w:line="25" w:lineRule="atLeast"/>
        <w:ind w:firstLine="708"/>
        <w:jc w:val="center"/>
        <w:rPr>
          <w:b/>
          <w:lang w:eastAsia="ru-RU"/>
        </w:rPr>
      </w:pPr>
      <w:r w:rsidRPr="008B6B75">
        <w:rPr>
          <w:b/>
          <w:lang w:eastAsia="ru-RU"/>
        </w:rPr>
        <w:t>Контрольно-счетной палаты Томской области</w:t>
      </w:r>
    </w:p>
    <w:p w:rsidR="00220B3F" w:rsidRPr="008B6B75" w:rsidRDefault="00220B3F" w:rsidP="00220B3F">
      <w:pPr>
        <w:widowControl/>
        <w:autoSpaceDE/>
        <w:autoSpaceDN/>
        <w:adjustRightInd/>
        <w:spacing w:line="25" w:lineRule="atLeast"/>
        <w:ind w:firstLine="708"/>
        <w:jc w:val="center"/>
        <w:rPr>
          <w:b/>
          <w:lang w:eastAsia="ru-RU"/>
        </w:rPr>
      </w:pPr>
      <w:r w:rsidRPr="008B6B75">
        <w:rPr>
          <w:b/>
          <w:lang w:eastAsia="ru-RU"/>
        </w:rPr>
        <w:t>на проект закона Томской облас</w:t>
      </w:r>
      <w:r>
        <w:rPr>
          <w:b/>
          <w:lang w:eastAsia="ru-RU"/>
        </w:rPr>
        <w:t>ти «Об областном бюджете на 2017</w:t>
      </w:r>
      <w:r w:rsidRPr="008B6B75">
        <w:rPr>
          <w:b/>
          <w:lang w:eastAsia="ru-RU"/>
        </w:rPr>
        <w:t xml:space="preserve"> год </w:t>
      </w:r>
    </w:p>
    <w:p w:rsidR="00220B3F" w:rsidRPr="008B6B75" w:rsidRDefault="00220B3F" w:rsidP="00220B3F">
      <w:pPr>
        <w:widowControl/>
        <w:autoSpaceDE/>
        <w:autoSpaceDN/>
        <w:adjustRightInd/>
        <w:spacing w:line="25" w:lineRule="atLeast"/>
        <w:ind w:firstLine="708"/>
        <w:jc w:val="center"/>
        <w:rPr>
          <w:b/>
          <w:lang w:eastAsia="ru-RU"/>
        </w:rPr>
      </w:pPr>
      <w:r w:rsidRPr="008B6B75">
        <w:rPr>
          <w:b/>
          <w:lang w:eastAsia="ru-RU"/>
        </w:rPr>
        <w:t>и на плановый период 201</w:t>
      </w:r>
      <w:r>
        <w:rPr>
          <w:b/>
          <w:lang w:eastAsia="ru-RU"/>
        </w:rPr>
        <w:t>8 и 2019</w:t>
      </w:r>
      <w:r w:rsidRPr="008B6B75">
        <w:rPr>
          <w:b/>
          <w:lang w:eastAsia="ru-RU"/>
        </w:rPr>
        <w:t xml:space="preserve"> годов»</w:t>
      </w:r>
    </w:p>
    <w:p w:rsidR="00220B3F" w:rsidRPr="008B6B75" w:rsidRDefault="00220B3F" w:rsidP="00220B3F">
      <w:pPr>
        <w:jc w:val="center"/>
        <w:rPr>
          <w:b/>
        </w:rPr>
      </w:pPr>
    </w:p>
    <w:p w:rsidR="00220B3F" w:rsidRDefault="00220B3F" w:rsidP="00220B3F">
      <w:pPr>
        <w:jc w:val="center"/>
        <w:rPr>
          <w:b/>
          <w:sz w:val="24"/>
          <w:szCs w:val="24"/>
        </w:rPr>
      </w:pPr>
    </w:p>
    <w:p w:rsidR="00220B3F" w:rsidRPr="00486A81" w:rsidRDefault="00220B3F" w:rsidP="00220B3F">
      <w:pPr>
        <w:jc w:val="center"/>
        <w:rPr>
          <w:b/>
          <w:sz w:val="24"/>
          <w:szCs w:val="24"/>
        </w:rPr>
      </w:pPr>
    </w:p>
    <w:p w:rsidR="00220B3F" w:rsidRPr="00182651" w:rsidRDefault="00220B3F" w:rsidP="00220B3F">
      <w:pPr>
        <w:widowControl/>
        <w:autoSpaceDE/>
        <w:autoSpaceDN/>
        <w:adjustRightInd/>
        <w:spacing w:line="25" w:lineRule="atLeast"/>
        <w:ind w:firstLine="70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Общие положения</w:t>
      </w:r>
    </w:p>
    <w:p w:rsidR="00220B3F" w:rsidRPr="00182651" w:rsidRDefault="00220B3F" w:rsidP="00220B3F">
      <w:pPr>
        <w:widowControl/>
        <w:autoSpaceDE/>
        <w:autoSpaceDN/>
        <w:adjustRightInd/>
        <w:spacing w:before="120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Заключение Контрольно-счетной </w:t>
      </w:r>
      <w:r w:rsidRPr="00182651">
        <w:rPr>
          <w:sz w:val="24"/>
          <w:szCs w:val="24"/>
          <w:lang w:eastAsia="ru-RU"/>
        </w:rPr>
        <w:t>палаты Томской области (далее – Заключение) на проект закона Томской области «Об областном  бюджете на 201</w:t>
      </w:r>
      <w:r>
        <w:rPr>
          <w:sz w:val="24"/>
          <w:szCs w:val="24"/>
          <w:lang w:eastAsia="ru-RU"/>
        </w:rPr>
        <w:t>7</w:t>
      </w:r>
      <w:r w:rsidRPr="00182651">
        <w:rPr>
          <w:sz w:val="24"/>
          <w:szCs w:val="24"/>
          <w:lang w:eastAsia="ru-RU"/>
        </w:rPr>
        <w:t xml:space="preserve"> год и на плановый период 20</w:t>
      </w:r>
      <w:r>
        <w:rPr>
          <w:sz w:val="24"/>
          <w:szCs w:val="24"/>
          <w:lang w:eastAsia="ru-RU"/>
        </w:rPr>
        <w:t>18</w:t>
      </w:r>
      <w:r w:rsidRPr="00182651">
        <w:rPr>
          <w:sz w:val="24"/>
          <w:szCs w:val="24"/>
          <w:lang w:eastAsia="ru-RU"/>
        </w:rPr>
        <w:t xml:space="preserve"> и 201</w:t>
      </w:r>
      <w:r>
        <w:rPr>
          <w:sz w:val="24"/>
          <w:szCs w:val="24"/>
          <w:lang w:eastAsia="ru-RU"/>
        </w:rPr>
        <w:t>9</w:t>
      </w:r>
      <w:r w:rsidRPr="00182651">
        <w:rPr>
          <w:sz w:val="24"/>
          <w:szCs w:val="24"/>
          <w:lang w:eastAsia="ru-RU"/>
        </w:rPr>
        <w:t xml:space="preserve"> годов» (далее – законопроект, проект закона) подготовлено в соответствии с Бюджетным кодексом РФ, законами Томской области «О Контрольно-счетной палате Томской области», «О бюджетном процессе в Томской области» и иными нормативными правовыми актами Российской Федерации и Томской области.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  <w:lang w:eastAsia="ru-RU"/>
        </w:rPr>
      </w:pPr>
      <w:r w:rsidRPr="00182651">
        <w:rPr>
          <w:sz w:val="24"/>
          <w:szCs w:val="24"/>
          <w:lang w:eastAsia="ru-RU"/>
        </w:rPr>
        <w:t>Контрольно-счетной палатой проанализированы представленный Администрацией Томской области (далее – Администрация) прогноз социально-экономического развития  Томской области на 201</w:t>
      </w:r>
      <w:r>
        <w:rPr>
          <w:sz w:val="24"/>
          <w:szCs w:val="24"/>
          <w:lang w:eastAsia="ru-RU"/>
        </w:rPr>
        <w:t>7 год и на плановый период 2018-2019 годов,</w:t>
      </w:r>
      <w:r w:rsidRPr="00182651">
        <w:rPr>
          <w:sz w:val="24"/>
          <w:szCs w:val="24"/>
          <w:lang w:eastAsia="ru-RU"/>
        </w:rPr>
        <w:t xml:space="preserve"> структура и содержание законопрое</w:t>
      </w:r>
      <w:r>
        <w:rPr>
          <w:sz w:val="24"/>
          <w:szCs w:val="24"/>
          <w:lang w:eastAsia="ru-RU"/>
        </w:rPr>
        <w:t>кта, приложени</w:t>
      </w:r>
      <w:r w:rsidRPr="00611E7B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 xml:space="preserve"> к законопроекту,</w:t>
      </w:r>
      <w:r w:rsidRPr="00182651">
        <w:rPr>
          <w:sz w:val="24"/>
          <w:szCs w:val="24"/>
          <w:lang w:eastAsia="ru-RU"/>
        </w:rPr>
        <w:t xml:space="preserve"> документ</w:t>
      </w:r>
      <w:r>
        <w:rPr>
          <w:sz w:val="24"/>
          <w:szCs w:val="24"/>
          <w:lang w:eastAsia="ru-RU"/>
        </w:rPr>
        <w:t>ы</w:t>
      </w:r>
      <w:r w:rsidRPr="00182651">
        <w:rPr>
          <w:sz w:val="24"/>
          <w:szCs w:val="24"/>
          <w:lang w:eastAsia="ru-RU"/>
        </w:rPr>
        <w:t xml:space="preserve"> и материал</w:t>
      </w:r>
      <w:r>
        <w:rPr>
          <w:sz w:val="24"/>
          <w:szCs w:val="24"/>
          <w:lang w:eastAsia="ru-RU"/>
        </w:rPr>
        <w:t>ы</w:t>
      </w:r>
      <w:r w:rsidRPr="00182651">
        <w:rPr>
          <w:sz w:val="24"/>
          <w:szCs w:val="24"/>
          <w:lang w:eastAsia="ru-RU"/>
        </w:rPr>
        <w:t>, представленны</w:t>
      </w:r>
      <w:r>
        <w:rPr>
          <w:sz w:val="24"/>
          <w:szCs w:val="24"/>
          <w:lang w:eastAsia="ru-RU"/>
        </w:rPr>
        <w:t>е</w:t>
      </w:r>
      <w:r w:rsidRPr="0018265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одновременно с ним</w:t>
      </w:r>
      <w:r w:rsidRPr="00182651">
        <w:rPr>
          <w:sz w:val="24"/>
          <w:szCs w:val="24"/>
          <w:lang w:eastAsia="ru-RU"/>
        </w:rPr>
        <w:t>, а также проверено наличие и оценено состояние нормативной и методической базы, регулирующей порядок их формирования.</w:t>
      </w:r>
    </w:p>
    <w:p w:rsidR="00220B3F" w:rsidRDefault="00220B3F" w:rsidP="00220B3F">
      <w:pPr>
        <w:ind w:firstLine="709"/>
        <w:rPr>
          <w:sz w:val="24"/>
          <w:szCs w:val="24"/>
        </w:rPr>
      </w:pPr>
      <w:r w:rsidRPr="00486A81">
        <w:rPr>
          <w:sz w:val="24"/>
          <w:szCs w:val="24"/>
        </w:rPr>
        <w:t>Документы и материалы, представленные вместе с проектом бюджета, соответствуют перечню, установленному статьей 184.2 Бюджетн</w:t>
      </w:r>
      <w:r w:rsidR="00054A9C">
        <w:rPr>
          <w:sz w:val="24"/>
          <w:szCs w:val="24"/>
        </w:rPr>
        <w:t xml:space="preserve">ого кодекса РФ, за исключением </w:t>
      </w:r>
      <w:r w:rsidRPr="00486A81">
        <w:rPr>
          <w:sz w:val="24"/>
          <w:szCs w:val="24"/>
        </w:rPr>
        <w:t>расчетов распределения неко</w:t>
      </w:r>
      <w:r>
        <w:rPr>
          <w:sz w:val="24"/>
          <w:szCs w:val="24"/>
        </w:rPr>
        <w:t>торых межбюджетных трансфертов (конкретно указано в разделе «Расходы областного бюджета»).</w:t>
      </w:r>
    </w:p>
    <w:p w:rsidR="00220B3F" w:rsidRDefault="00220B3F" w:rsidP="00220B3F">
      <w:pPr>
        <w:ind w:firstLine="709"/>
        <w:rPr>
          <w:sz w:val="24"/>
          <w:szCs w:val="24"/>
        </w:rPr>
      </w:pPr>
    </w:p>
    <w:p w:rsidR="00220B3F" w:rsidRDefault="00220B3F" w:rsidP="00220B3F">
      <w:pPr>
        <w:ind w:firstLine="709"/>
        <w:rPr>
          <w:b/>
          <w:sz w:val="24"/>
          <w:szCs w:val="24"/>
          <w:lang w:eastAsia="ru-RU"/>
        </w:rPr>
      </w:pPr>
      <w:r w:rsidRPr="00F929DF">
        <w:rPr>
          <w:b/>
          <w:sz w:val="24"/>
          <w:szCs w:val="24"/>
        </w:rPr>
        <w:t>1.1</w:t>
      </w:r>
      <w:r w:rsidR="005C60B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eastAsia="ru-RU"/>
        </w:rPr>
        <w:t>Текстовая часть законопроекта</w:t>
      </w:r>
    </w:p>
    <w:p w:rsidR="00220B3F" w:rsidRDefault="00220B3F" w:rsidP="00220B3F">
      <w:pPr>
        <w:ind w:firstLine="709"/>
        <w:rPr>
          <w:sz w:val="24"/>
          <w:szCs w:val="24"/>
        </w:rPr>
      </w:pP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Законопроект содержит 22 статьи, повторяющие положения аналогичных статей Закона Томской области «Об областном бюджете на 2016 год и плановый период  2017-2018 годов».        К представленному законопроекту имеются следующие замечания.</w:t>
      </w:r>
    </w:p>
    <w:p w:rsidR="00220B3F" w:rsidRDefault="00220B3F" w:rsidP="00220B3F">
      <w:pPr>
        <w:tabs>
          <w:tab w:val="left" w:pos="4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 Статьей 1 законопроекта предлагается утвердить такие основные характеристики областного бюджета, как </w:t>
      </w:r>
      <w:r>
        <w:rPr>
          <w:i/>
          <w:sz w:val="24"/>
          <w:szCs w:val="24"/>
        </w:rPr>
        <w:t>прогнозируемые</w:t>
      </w:r>
      <w:r>
        <w:rPr>
          <w:sz w:val="24"/>
          <w:szCs w:val="24"/>
        </w:rPr>
        <w:t xml:space="preserve"> суммы общего объема доходов и дефицита областного бюджета. Ст. 184.1 Бюджетного кодекса РФ определено, что в законе (решении) о бюджете должны содержаться основные характеристики бюджета, к которым в том числе относятся общий объем доходов бюджета, дефицит (профицит) бюджета.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Прогнозируемые общий объем доходов областного бюджета в очередном финансовом году и плановом периоде должны представляться в Законодательную Думу Томской области в качестве приложений </w:t>
      </w:r>
      <w:r w:rsidRPr="00220B3F">
        <w:rPr>
          <w:color w:val="FF0000"/>
          <w:sz w:val="24"/>
          <w:szCs w:val="24"/>
        </w:rPr>
        <w:t>к</w:t>
      </w:r>
      <w:r>
        <w:rPr>
          <w:sz w:val="24"/>
          <w:szCs w:val="24"/>
        </w:rPr>
        <w:t xml:space="preserve"> проекту закона об областном бюджете в соответствии с ч. 3 ст. 18 Закона Томской области от 11.10.2007 № 231-ОЗ «О бюджетном процессе в Томской области» (далее - Закон № 231-ОЗ). </w:t>
      </w:r>
    </w:p>
    <w:p w:rsidR="00220B3F" w:rsidRDefault="00220B3F" w:rsidP="00220B3F">
      <w:pPr>
        <w:tabs>
          <w:tab w:val="left" w:pos="2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2. В соответствии со ст. 57 БК РФ статью 5 законопроекта после слов «обязательных платежей» необходимо дополнить словами «в бюджет».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Согласно статье 14 законопроекта в составе утвержденных в ведомственной структуре расходов областного бюджета на 2017 год зарезервированы бюджетные ассигнования, предусмотренные Департаменту промышленности и развития предпринимательства Томской области. Вместе с тем в соответствии с постановлением Губернатора Томской области от 13.05.2016 № 40 «О внесении изменений в постановление Губернатора Томской области от 30.08.2012 № 94» данный исполнительный орган государственной власти Томской области реорганизован путем выделения из его состава Комитета развития предпринимательства Томской области и переименован в Департамент промышленности и энергетики Томской области. Ссылка на указанный орган содержится также в приложениях 3, 14, 15, 15.1 законопроекта.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4. Статьей 15 законопроекта предусмотрена возможность перечисления средств субсидий юридическим лицам (за исключением субсидий государственным (муниципальным) учреждениям) на лицевые счета, открываемые юридическими лицами - получателями указанных субсидий в территориальных органах Федерального казначейства.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этом лицевые счета, открываемые в Федеральном казначействе, </w:t>
      </w:r>
      <w:r w:rsidRPr="002852CA">
        <w:rPr>
          <w:sz w:val="24"/>
          <w:szCs w:val="24"/>
        </w:rPr>
        <w:t xml:space="preserve">согласно </w:t>
      </w:r>
      <w:hyperlink r:id="rId8" w:history="1">
        <w:r w:rsidRPr="002852CA">
          <w:rPr>
            <w:rStyle w:val="aff5"/>
            <w:color w:val="auto"/>
            <w:sz w:val="24"/>
            <w:szCs w:val="24"/>
            <w:u w:val="none"/>
          </w:rPr>
          <w:t>ст. 220.1</w:t>
        </w:r>
      </w:hyperlink>
      <w:r>
        <w:rPr>
          <w:sz w:val="24"/>
          <w:szCs w:val="24"/>
        </w:rPr>
        <w:t xml:space="preserve"> БК РФ, открываются и ведутся в порядке, установленном Федеральным казначейством. На лицевых счетах, открываемых в соответствии с </w:t>
      </w:r>
      <w:r w:rsidRPr="002852CA">
        <w:rPr>
          <w:sz w:val="24"/>
          <w:szCs w:val="24"/>
        </w:rPr>
        <w:t xml:space="preserve">положениями </w:t>
      </w:r>
      <w:hyperlink r:id="rId9" w:history="1">
        <w:r w:rsidRPr="002852CA">
          <w:rPr>
            <w:rStyle w:val="aff5"/>
            <w:color w:val="auto"/>
            <w:sz w:val="24"/>
            <w:szCs w:val="24"/>
            <w:u w:val="none"/>
          </w:rPr>
          <w:t>Кодекса</w:t>
        </w:r>
      </w:hyperlink>
      <w:r w:rsidRPr="002852C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территориальных органах Федерального казначейства, учитываются операции по исполнению бюджета субъекта РФ, осуществляемые участниками бюджетного процесса в рамках их бюджетных полномочий.</w:t>
      </w:r>
    </w:p>
    <w:p w:rsidR="00220B3F" w:rsidRDefault="00220B3F" w:rsidP="00220B3F">
      <w:pPr>
        <w:spacing w:after="1" w:line="26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 7 Порядка открытия и ведения лицевых счетов территориальными органами Федерального казначейства, утвержденного приказом Федерального казначейства от 29.12.2012 № 24н, органом Федерального казначейства открывается лицевой счет, предназначенный для учета операций со средствами юридического лица (его обособленного подразделения), не являющегося участником бюджетного процесса, в случаях, установленных законодательными и нормативными правовыми актами РФ, в порядке, предусмотренном для открытия и ведения соответствующего лицевого счета, и с учетом особенностей, установленных указанными нормативными правовыми актами РФ.</w:t>
      </w:r>
    </w:p>
    <w:p w:rsidR="00220B3F" w:rsidRDefault="00220B3F" w:rsidP="00220B3F">
      <w:pPr>
        <w:spacing w:after="1" w:line="26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С учетом изложенного предлагаем статью 15 законопроекта дополнить словами «в случаях, установленных законодательными и нормативными правовыми актами Российской Федерации.».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Частью 1 статьи 19 законопроекта установлено, что уровень софинансирования из областного бюджета при предоставлении субсидий местным бюджетам на осуществление капитальных вложений при приобретении объектов недвижимого имущества в муниципальную собственность для размещения дошкольных образовательных организаций с использованием механизма государственно-частного партнерства устанавливается соглашением о государственно-частном партнерстве (далее - соглашение о ГЧП).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смыслу ст.ст. 1, 6, 12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- Федеральный закон №224-ФЗ) межбюджетные отношения (и в частности определение уровня софинансирования при предоставлении субсидий из бюджетов субъектов РФ местным бюджетам) не могут регламентироваться соглашениями о ГЧП. Согласно ч.5 статьи 12 указанного закона соглашением о ГЧП может быть предусмотрено только обязательство каждого публичного партнера по финансированию соглашения. </w:t>
      </w:r>
    </w:p>
    <w:p w:rsidR="00220B3F" w:rsidRDefault="00220B3F" w:rsidP="00220B3F">
      <w:pPr>
        <w:tabs>
          <w:tab w:val="left" w:pos="4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силу ч. 5 ст. 6 Федерального закона №224-ФЗ финансирование создания объекта соглашения, его эксплуатации и (или) технического обслуживания за счет средств бюджетов бюджетной системы РФ осуществляется исключительно за счет предоставления субсидий из бюджетов бюджетной системы РФ в соответствии с бюджетным законодательством РФ.</w:t>
      </w:r>
    </w:p>
    <w:p w:rsidR="00220B3F" w:rsidRDefault="00220B3F" w:rsidP="00220B3F">
      <w:pPr>
        <w:tabs>
          <w:tab w:val="left" w:pos="4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ч. 3 ст. 139 БК РФ указано, что цели и условия предоставления и расходования субсидий местным бюджетам из бюджета субъекта РФ,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РФ и (или) нормативными правовыми актами высшего исполнительного органа государственной власти субъекта РФ в соответствии с требованиями Кодекса. При этом по смыслу ст.ст. 14, 85 БК РФ закон о бюджете субъекта РФ расходные обязательства не устанавливает.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>Таким образом, по мнению Контрольно-счетной палаты, критерии отбора муниципальных образований для предоставления указанных субсидий и их распределение между муниципальными образованиями, включая определение уровня софинансирования из областного бюджета при предоставлении указанных субсидий, должны определяться нормативными правовыми актами субъекта РФ.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В Приложении 3 к законопроекту в качестве главного администратора доходов областного бюджета не указана Контрольно-счетная палата Томской области. Однако в соответствии со ст. 23.1 и ч. 5 ст. 28.3 Кодекса РФ об административных правонарушениях </w:t>
      </w:r>
      <w:r>
        <w:rPr>
          <w:sz w:val="24"/>
          <w:szCs w:val="24"/>
        </w:rPr>
        <w:lastRenderedPageBreak/>
        <w:t xml:space="preserve">должностные лица контрольно-счетных органов субъектов РФ вправе составлять протоколы об административных правонарушениях, которые рассматривают суды. Зачисление соответствующих штрафов производится в областной бюджет в соответствии со ст. 46 БК РФ. 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>7. В Приложении 4 к законопроекту в качестве главного администратора доходов областного бюджета - территориального органа федеральных органов исполнительной власти -  указано Управление Федеральной миграционной службы по Томской области. Однако в соответствии с Указом Президента РФ от 05.04.2016 № 156 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 Федеральная миграционная служба упразднена, ее функции переданы Министерству внутренних дел РФ.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>8. Имеется ряд замечаний к Приложению 16 к законопроекту, предусматривающему распределение межбюджетных трансфертов местным бюджетам на 2017 год и на плановый период 2018 и 2019 годов.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Табл. 1 установлен нераспределенный объем дотаций на выравнивание бюджетной обеспеченности муниципальных районов (городских округов) из областного фонда финансовой поддержки муниципальных районов (городских округов) на 2018 год в размере 440 022,9 тыс. руб. (20,7% от общего объема дотаций на 2018 год, установленного в размере 2 129 730,4 тыс. руб.),  на 2019 год - 481 229,4 тыс. руб. (22,6% - от общего объема дотаций на 2019 год - 2 129 730,4 тыс. руб.), что превышает предусмотренный ч. 6 ст. 138 БК РФ размер. 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>Так, в соответствии с указанной нормой допускается утверждение на плановый период нераспределенного между муниципальными районами (городскими округами, городскими округами с внутригородским делением)  (далее - муниципальные районы) объема дотаций на выравнивание бюджетной обеспеченности муниципальных районов в размере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>В нарушение ст. 85 БК РФ в законопроект включены расходы на предоставление субсидии местным бюджетам на капитальный ремонт здания Дома культуры в с. Новокусково Асиновского района на 2017 год в сумме 15 000,0 тыс. руб. (табл. 17), не установленные соответствующим расходным обязательством.</w:t>
      </w:r>
    </w:p>
    <w:p w:rsidR="00220B3F" w:rsidRDefault="00220B3F" w:rsidP="00220B3F">
      <w:pPr>
        <w:spacing w:after="1"/>
        <w:ind w:firstLine="709"/>
        <w:rPr>
          <w:sz w:val="24"/>
          <w:szCs w:val="24"/>
        </w:rPr>
      </w:pPr>
      <w:r>
        <w:rPr>
          <w:sz w:val="24"/>
          <w:szCs w:val="24"/>
        </w:rPr>
        <w:t>9.  В приложении 17 законопроекта наименование публичного нормативного обязательства «Денежная компенсация затрат родителей (законных представителей) на воспитание и обучение детей-инвалидов на дому» с целью приведения в соответствие с Законом Томской области от 15.05.2015 № 55-ОЗ «О внесении изменений в закон Томской области «О социальной поддержке инвалидов в Томской области» следует изложить в следующей редакции: «Компенсация затрат родителей (законных представителей) детей-инвалидов на организацию обучения по основным общеобразовательным программам на дому».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Кроме того, предусмотрены бюджетные ассигнования на 2017 год в суммах  40 000,0 тыс. руб., 13 500,0 тыс. руб. в соответствии с постановлением Администрации Томской области от 13.04.2016 № 111а «О мерах по реализации статьи 51 Федерального закона от 29.11.2010 года № 326-ФЗ «Об обязательном медицинском страховании в Российской Федерации» на исполнение публичных нормативных обязательств «Единовременные компенсационные выплаты медицинским работникам», «Единовременная компенсационная выплата медицинским работникам, занимающим должности врачей, в возрасте до 35 лет, имеющим высшее образование, прибывшим на работу в городской населенный пункт (за исключением рабочих поселков) с численностью менее 50 тысяч человек или переехавшим на работу в городской населенный пункт (за исключением рабочих поселков) с численностью менее 50 тысяч человек из другого населенного пункта и заключившим с уполномоченным исполнительным органом государственной власти Томской области договор» (соответственно). При этом пунктами 1, 2 указанного постановления установлено, что соответствующие выплаты предоставляются однократно только в 2016 году.</w:t>
      </w:r>
    </w:p>
    <w:p w:rsidR="00220B3F" w:rsidRDefault="00220B3F" w:rsidP="00220B3F">
      <w:pPr>
        <w:rPr>
          <w:sz w:val="24"/>
          <w:szCs w:val="24"/>
        </w:rPr>
      </w:pPr>
    </w:p>
    <w:p w:rsidR="00220B3F" w:rsidRPr="00370742" w:rsidRDefault="00220B3F" w:rsidP="00220B3F">
      <w:pPr>
        <w:ind w:firstLine="709"/>
        <w:rPr>
          <w:b/>
          <w:sz w:val="24"/>
          <w:szCs w:val="24"/>
        </w:rPr>
      </w:pPr>
      <w:r w:rsidRPr="00370742">
        <w:rPr>
          <w:b/>
          <w:sz w:val="24"/>
          <w:szCs w:val="24"/>
          <w:lang w:eastAsia="ru-RU"/>
        </w:rPr>
        <w:lastRenderedPageBreak/>
        <w:t xml:space="preserve">2. </w:t>
      </w:r>
      <w:r w:rsidRPr="00370742">
        <w:rPr>
          <w:b/>
          <w:sz w:val="24"/>
          <w:szCs w:val="24"/>
        </w:rPr>
        <w:t>Анализ увязки основных параметров документов стратегического планирования Томской области и основных направлений бюджетной и налоговой политики на 2017-2019 годы, составляющих основу формирования законопроекта о бюджете</w:t>
      </w:r>
    </w:p>
    <w:p w:rsidR="00220B3F" w:rsidRPr="00370742" w:rsidRDefault="00220B3F" w:rsidP="00220B3F">
      <w:pPr>
        <w:rPr>
          <w:sz w:val="24"/>
          <w:szCs w:val="24"/>
          <w:lang w:eastAsia="ru-RU"/>
        </w:rPr>
      </w:pP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B54A8E">
        <w:rPr>
          <w:b/>
          <w:sz w:val="24"/>
          <w:szCs w:val="24"/>
        </w:rPr>
        <w:t>2.1</w:t>
      </w:r>
      <w:r w:rsidR="005C60B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54A8E">
        <w:rPr>
          <w:b/>
          <w:sz w:val="24"/>
          <w:szCs w:val="24"/>
        </w:rPr>
        <w:t>Прогноз социально-экономического развития Томской области на 2017-2019 годы</w:t>
      </w:r>
      <w:r w:rsidRPr="00370742">
        <w:rPr>
          <w:sz w:val="24"/>
          <w:szCs w:val="24"/>
        </w:rPr>
        <w:t xml:space="preserve"> (далее - Прогноз) сформирован по основным макроэкономическим показателям социально-экономического развития Томской области на основе двух вариантов: базового (вариант 1) и целевого (вариант 2).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Для разработки параметров областного бюджета на 2017-2019 годы использован базовый вариант Прогноза.</w:t>
      </w:r>
      <w:r w:rsidRPr="00370742">
        <w:rPr>
          <w:i/>
          <w:sz w:val="24"/>
          <w:szCs w:val="24"/>
        </w:rPr>
        <w:t xml:space="preserve"> </w:t>
      </w:r>
      <w:r w:rsidRPr="00370742">
        <w:rPr>
          <w:sz w:val="24"/>
          <w:szCs w:val="24"/>
        </w:rPr>
        <w:t xml:space="preserve">При </w:t>
      </w:r>
      <w:r>
        <w:rPr>
          <w:sz w:val="24"/>
          <w:szCs w:val="24"/>
        </w:rPr>
        <w:t>подготовке показателей Прогноза</w:t>
      </w:r>
      <w:r w:rsidRPr="00370742">
        <w:rPr>
          <w:sz w:val="24"/>
          <w:szCs w:val="24"/>
        </w:rPr>
        <w:t xml:space="preserve"> принята во внимание макроэкономическая ситуация российской экономики в условиях сохраняющейся геополитической нестабильности, применения к России санкционного режима на протяжении всего прогнозного периода, ограничение доступа отечественных предприятий к мировому рынку капитала и ответных экономических мер.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Базовый вариант характеризует развитие томской экономики в условиях сохранения консервативных тенденций изменения внешних факторов при сохранении консервативной бюджетной политики, которая предусматривает умеренное увеличение социальных обязательств государства и бизнеса, и должна привести к сдержанной динамик</w:t>
      </w:r>
      <w:r>
        <w:rPr>
          <w:sz w:val="24"/>
          <w:szCs w:val="24"/>
        </w:rPr>
        <w:t>е</w:t>
      </w:r>
      <w:r w:rsidRPr="00370742">
        <w:rPr>
          <w:sz w:val="24"/>
          <w:szCs w:val="24"/>
        </w:rPr>
        <w:t xml:space="preserve"> потребительского спроса, замедлению роста инфляции и возобновлению роста реальных денежных доходов населения.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В целом Прогноз на 2017-2019 годы сформирован в соответствии с требованиями к его содержанию, установленными пунктом 8 Порядка разработки прогноза социально-экономического развития Томской области на среднесрочный период (далее - Порядок ра</w:t>
      </w:r>
      <w:r>
        <w:rPr>
          <w:sz w:val="24"/>
          <w:szCs w:val="24"/>
        </w:rPr>
        <w:t>зработки прогноза), утвержденного</w:t>
      </w:r>
      <w:r w:rsidRPr="00370742">
        <w:rPr>
          <w:sz w:val="24"/>
          <w:szCs w:val="24"/>
        </w:rPr>
        <w:t xml:space="preserve"> постановлением Администрации Томской области, а также пунктом 4 статьи 173 Бюджетного кодекса РФ</w:t>
      </w:r>
      <w:r>
        <w:rPr>
          <w:sz w:val="24"/>
          <w:szCs w:val="24"/>
        </w:rPr>
        <w:t>.</w:t>
      </w:r>
      <w:r w:rsidRPr="00370742">
        <w:rPr>
          <w:sz w:val="24"/>
          <w:szCs w:val="24"/>
        </w:rPr>
        <w:t xml:space="preserve"> 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В Прогнозе представлено описание комплекса необходимых мер для обеспечения позитивного развития и достижения прогнозируемых значений показателей в разрезе видов экономической деятельности и проведено сравнение прогнозных значений базового варианта Стратегии социально-экономического развития Томской области до 2030 года, утвержденной постановлением Законодательной Думы Томской области (далее – Стратегия), прогнозных значений 2015 и 2016 годов, на основании полученных результатов произведена корректировка прогнозных показателей 2017 года</w:t>
      </w:r>
      <w:r>
        <w:rPr>
          <w:sz w:val="24"/>
          <w:szCs w:val="24"/>
        </w:rPr>
        <w:t xml:space="preserve"> (том</w:t>
      </w:r>
      <w:r w:rsidRPr="004C10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4C10B6">
        <w:rPr>
          <w:sz w:val="24"/>
          <w:szCs w:val="24"/>
        </w:rPr>
        <w:t xml:space="preserve"> </w:t>
      </w:r>
      <w:r>
        <w:rPr>
          <w:sz w:val="24"/>
          <w:szCs w:val="24"/>
        </w:rPr>
        <w:t>прил. 4)</w:t>
      </w:r>
      <w:r w:rsidRPr="00370742">
        <w:rPr>
          <w:sz w:val="24"/>
          <w:szCs w:val="24"/>
        </w:rPr>
        <w:t>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В соответствии с Законом Томской области «О стратегическом планировании в Томской области» (далее – Закон о стратегическом планировании в Томской области) при подготовке заключения осуществлена оценка основных параметров, используемых при составлении законопроекта</w:t>
      </w:r>
      <w:r>
        <w:rPr>
          <w:sz w:val="24"/>
          <w:szCs w:val="24"/>
        </w:rPr>
        <w:t>,</w:t>
      </w:r>
      <w:r w:rsidRPr="00370742">
        <w:rPr>
          <w:sz w:val="24"/>
          <w:szCs w:val="24"/>
        </w:rPr>
        <w:t xml:space="preserve"> с показателями Стратегии.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 xml:space="preserve">Необходимо отметить, что в материалах заключения </w:t>
      </w:r>
      <w:r>
        <w:rPr>
          <w:sz w:val="24"/>
          <w:szCs w:val="24"/>
        </w:rPr>
        <w:t xml:space="preserve">Контрольно-счетной </w:t>
      </w:r>
      <w:r w:rsidRPr="00370742">
        <w:rPr>
          <w:sz w:val="24"/>
          <w:szCs w:val="24"/>
        </w:rPr>
        <w:t xml:space="preserve">палаты на проект закона Томской области «Об областном бюджете на 2016 год и </w:t>
      </w:r>
      <w:r>
        <w:rPr>
          <w:sz w:val="24"/>
          <w:szCs w:val="24"/>
        </w:rPr>
        <w:t xml:space="preserve">на </w:t>
      </w:r>
      <w:r w:rsidRPr="00370742">
        <w:rPr>
          <w:sz w:val="24"/>
          <w:szCs w:val="24"/>
        </w:rPr>
        <w:t xml:space="preserve">плановый период 2017 и 2018 годов» </w:t>
      </w:r>
      <w:r w:rsidRPr="00CF0C53">
        <w:rPr>
          <w:b/>
          <w:sz w:val="24"/>
          <w:szCs w:val="24"/>
        </w:rPr>
        <w:t>было акцентировано внимание на необходимость корректировки Стратегии, которая содержит много внутренних разночтений и противоречий в показателях</w:t>
      </w:r>
      <w:r w:rsidRPr="00370742">
        <w:rPr>
          <w:sz w:val="24"/>
          <w:szCs w:val="24"/>
        </w:rPr>
        <w:t>, а именно: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- прогнозные значения десяти социально-экономических показателей развития Томской области по трем сценариям (консервативный, базовый, оптимистический) за 2015-2020 годы, а также за 2020, 2025 и 2030 годы к уровню 2013 года (раздел VI Стратегии) отражены без указания значений этих показателей по 2013 году;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- показатели социально-экономического развития в разрезе пяти стратегических целей и задач социально-экономического развития Томской области (раздел IV Стратегии) отражены применительно только к 2020 и 2030 годам в сравнении с 2013 годом;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- значения двенадцати целевых показателей социально-экономического развития муниципальных образований Томской области (таблицы 3-9 приложения 1 к Стратегии) приведены в привязке к четырем истекшим годам, 2015, 2020, 2025 и 2030 годам, зафиксировав сложившуюся ситуацию и обозначив только лишь долгосрочные ориентиры без увязки их со среднесрочным прогнозированием.</w:t>
      </w:r>
    </w:p>
    <w:p w:rsidR="00220B3F" w:rsidRPr="00CF0C53" w:rsidRDefault="00220B3F" w:rsidP="00220B3F">
      <w:pPr>
        <w:ind w:firstLine="709"/>
        <w:rPr>
          <w:b/>
          <w:sz w:val="24"/>
          <w:szCs w:val="24"/>
        </w:rPr>
      </w:pPr>
      <w:r w:rsidRPr="00CF0C53">
        <w:rPr>
          <w:b/>
          <w:sz w:val="24"/>
          <w:szCs w:val="24"/>
        </w:rPr>
        <w:t xml:space="preserve">Данные замечания не были приняты во внимание. 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lastRenderedPageBreak/>
        <w:t>Сравнительный анализ показателей Прогноза показал основные отклонения их от значений показателей Стратегии как в 2017 году, так и в плановом периоде 2018-2019 годов (таблица 1).</w:t>
      </w:r>
    </w:p>
    <w:p w:rsidR="00220B3F" w:rsidRPr="00CF0C53" w:rsidRDefault="00220B3F" w:rsidP="00220B3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CF0C53">
        <w:rPr>
          <w:sz w:val="24"/>
          <w:szCs w:val="24"/>
        </w:rPr>
        <w:t>аблица 1</w:t>
      </w:r>
    </w:p>
    <w:p w:rsidR="00220B3F" w:rsidRPr="00F929DF" w:rsidRDefault="00220B3F" w:rsidP="00220B3F">
      <w:pPr>
        <w:ind w:firstLine="709"/>
        <w:jc w:val="center"/>
        <w:rPr>
          <w:b/>
          <w:sz w:val="24"/>
          <w:szCs w:val="24"/>
        </w:rPr>
      </w:pPr>
      <w:r w:rsidRPr="00F929DF">
        <w:rPr>
          <w:b/>
          <w:sz w:val="24"/>
          <w:szCs w:val="24"/>
        </w:rPr>
        <w:t>Сопоставление показателей Стратегии с показателями Прогноза социально-экономического развития Томской области</w:t>
      </w:r>
    </w:p>
    <w:tbl>
      <w:tblPr>
        <w:tblW w:w="9320" w:type="dxa"/>
        <w:jc w:val="center"/>
        <w:tblLook w:val="00A0" w:firstRow="1" w:lastRow="0" w:firstColumn="1" w:lastColumn="0" w:noHBand="0" w:noVBand="0"/>
      </w:tblPr>
      <w:tblGrid>
        <w:gridCol w:w="1899"/>
        <w:gridCol w:w="1233"/>
        <w:gridCol w:w="1234"/>
        <w:gridCol w:w="1234"/>
        <w:gridCol w:w="1240"/>
        <w:gridCol w:w="1240"/>
        <w:gridCol w:w="1240"/>
      </w:tblGrid>
      <w:tr w:rsidR="00220B3F" w:rsidRPr="005F7861" w:rsidTr="00220B3F">
        <w:trPr>
          <w:trHeight w:val="300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220B3F" w:rsidRPr="005F7861" w:rsidTr="00220B3F">
        <w:trPr>
          <w:trHeight w:val="499"/>
          <w:jc w:val="center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F" w:rsidRPr="005F7861" w:rsidRDefault="00220B3F" w:rsidP="00220B3F">
            <w:pPr>
              <w:ind w:firstLine="17"/>
              <w:jc w:val="center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наименование сценария развития Томской области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Стратегии развития Томской области до 2030 года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Прогноза социально-экономического развития ТО</w:t>
            </w:r>
          </w:p>
        </w:tc>
      </w:tr>
      <w:tr w:rsidR="00220B3F" w:rsidRPr="005F7861" w:rsidTr="00220B3F">
        <w:trPr>
          <w:trHeight w:val="405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firstLine="0"/>
              <w:jc w:val="center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3F" w:rsidRPr="005F7861" w:rsidRDefault="00220B3F" w:rsidP="00220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5F78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3F" w:rsidRPr="005F7861" w:rsidRDefault="00220B3F" w:rsidP="00220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3F" w:rsidRPr="005F7861" w:rsidRDefault="00220B3F" w:rsidP="00220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</w:tc>
      </w:tr>
      <w:tr w:rsidR="00220B3F" w:rsidRPr="005F7861" w:rsidTr="00220B3F">
        <w:trPr>
          <w:trHeight w:val="143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Прирост численности населения Томской области, %*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24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0,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24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0,</w:t>
            </w: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0,3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24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220B3F" w:rsidRPr="005F7861" w:rsidTr="00220B3F">
        <w:trPr>
          <w:trHeight w:val="203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Темп прироста</w:t>
            </w:r>
            <w:r>
              <w:rPr>
                <w:b/>
                <w:bCs/>
                <w:sz w:val="20"/>
                <w:szCs w:val="20"/>
              </w:rPr>
              <w:t xml:space="preserve"> ВРП </w:t>
            </w:r>
            <w:r w:rsidRPr="005F7861">
              <w:rPr>
                <w:b/>
                <w:bCs/>
                <w:sz w:val="20"/>
                <w:szCs w:val="20"/>
              </w:rPr>
              <w:t>в сопоставимых ценах, % к предыдущему году*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5F7861">
              <w:rPr>
                <w:b/>
                <w:color w:val="000000"/>
                <w:sz w:val="20"/>
                <w:szCs w:val="20"/>
              </w:rPr>
              <w:t>,</w:t>
            </w: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F7861">
              <w:rPr>
                <w:b/>
                <w:color w:val="000000"/>
                <w:sz w:val="20"/>
                <w:szCs w:val="20"/>
              </w:rPr>
              <w:t>,</w:t>
            </w: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3,</w:t>
            </w: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2,5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3,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  <w:lang w:val="en-US"/>
              </w:rPr>
              <w:t>4</w:t>
            </w:r>
            <w:r w:rsidRPr="005F7861">
              <w:rPr>
                <w:color w:val="000000"/>
                <w:sz w:val="20"/>
                <w:szCs w:val="20"/>
              </w:rPr>
              <w:t>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4,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4,4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firstLine="17"/>
              <w:jc w:val="lef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Индекс производства по виду экономической деятельности «Обрабатывающие производства», %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101,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101,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101,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103,</w:t>
            </w: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</w:t>
            </w: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Pr="005F7861">
              <w:rPr>
                <w:b/>
                <w:color w:val="000000"/>
                <w:sz w:val="20"/>
                <w:szCs w:val="20"/>
              </w:rPr>
              <w:t>,</w:t>
            </w:r>
            <w:r w:rsidRPr="005F7861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103,1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10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5</w:t>
            </w:r>
            <w:r w:rsidRPr="005F7861">
              <w:rPr>
                <w:color w:val="000000"/>
                <w:sz w:val="20"/>
                <w:szCs w:val="20"/>
              </w:rPr>
              <w:t>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10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6</w:t>
            </w:r>
            <w:r w:rsidRPr="005F7861">
              <w:rPr>
                <w:color w:val="000000"/>
                <w:sz w:val="20"/>
                <w:szCs w:val="20"/>
              </w:rPr>
              <w:t>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</w:rPr>
              <w:t>10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5</w:t>
            </w:r>
            <w:r w:rsidRPr="005F7861">
              <w:rPr>
                <w:color w:val="000000"/>
                <w:sz w:val="20"/>
                <w:szCs w:val="20"/>
              </w:rPr>
              <w:t>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105,2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center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Индекс производства по виду экономической деятельности «Добыча полезных ископаемых», %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F7861">
              <w:rPr>
                <w:color w:val="000000"/>
                <w:sz w:val="20"/>
                <w:szCs w:val="20"/>
                <w:lang w:val="en-US"/>
              </w:rPr>
              <w:t>95</w:t>
            </w:r>
            <w:r w:rsidRPr="005F7861">
              <w:rPr>
                <w:color w:val="000000"/>
                <w:sz w:val="20"/>
                <w:szCs w:val="20"/>
              </w:rPr>
              <w:t>,</w:t>
            </w:r>
            <w:r w:rsidRPr="005F786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100,9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101,4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100,3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101,0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center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Индекс производства продукции сельского хозяйства, %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CA6AA2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6AA2">
              <w:rPr>
                <w:b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CA6AA2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6AA2">
              <w:rPr>
                <w:b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CA6AA2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A6AA2">
              <w:rPr>
                <w:b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CA6AA2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CA6AA2">
              <w:rPr>
                <w:b/>
                <w:sz w:val="20"/>
                <w:szCs w:val="20"/>
              </w:rPr>
              <w:t>105,2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CA6AA2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CA6AA2">
              <w:rPr>
                <w:b/>
                <w:sz w:val="20"/>
                <w:szCs w:val="20"/>
              </w:rPr>
              <w:t>101,9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220B3F" w:rsidRPr="00CA6AA2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CA6AA2">
              <w:rPr>
                <w:b/>
                <w:sz w:val="20"/>
                <w:szCs w:val="20"/>
              </w:rPr>
              <w:t>101,0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101,3</w:t>
            </w:r>
          </w:p>
        </w:tc>
      </w:tr>
      <w:tr w:rsidR="00220B3F" w:rsidRPr="005F7861" w:rsidTr="00220B3F">
        <w:trPr>
          <w:trHeight w:val="264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Доля инвестиций в основной капитал в валовом региональном продукте, %*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19,2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left="-124" w:firstLine="141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22,1</w:t>
            </w:r>
          </w:p>
        </w:tc>
      </w:tr>
      <w:tr w:rsidR="00220B3F" w:rsidRPr="005F7861" w:rsidTr="00220B3F">
        <w:trPr>
          <w:trHeight w:val="154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Реальные располагаемые денежные доходы населения, %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firstLine="17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firstLine="17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100,9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101,4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firstLine="17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3F" w:rsidRPr="005F7861" w:rsidRDefault="00220B3F" w:rsidP="00220B3F">
            <w:pPr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3F" w:rsidRPr="005F7861" w:rsidRDefault="00220B3F" w:rsidP="00220B3F">
            <w:pPr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102,9</w:t>
            </w:r>
          </w:p>
        </w:tc>
      </w:tr>
      <w:tr w:rsidR="00220B3F" w:rsidRPr="005F7861" w:rsidTr="00220B3F">
        <w:trPr>
          <w:trHeight w:val="200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3F" w:rsidRPr="005F7861" w:rsidRDefault="00220B3F" w:rsidP="0022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5F7861">
              <w:rPr>
                <w:b/>
                <w:bCs/>
                <w:sz w:val="20"/>
                <w:szCs w:val="20"/>
              </w:rPr>
              <w:t>Протяженность автомобильных дорог общего пользования с твердым покрытием, км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firstLine="17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7 267,5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7 274,0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7 321,3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 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3F" w:rsidRPr="005F7861" w:rsidRDefault="00220B3F" w:rsidP="00220B3F">
            <w:pPr>
              <w:ind w:firstLine="17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7 267,5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7 296,2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b/>
                <w:color w:val="000000"/>
                <w:sz w:val="20"/>
                <w:szCs w:val="20"/>
              </w:rPr>
            </w:pPr>
            <w:r w:rsidRPr="005F7861">
              <w:rPr>
                <w:b/>
                <w:color w:val="000000"/>
                <w:sz w:val="20"/>
                <w:szCs w:val="20"/>
              </w:rPr>
              <w:t>7 325,6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7494,4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7494,4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b/>
                <w:sz w:val="20"/>
                <w:szCs w:val="20"/>
              </w:rPr>
            </w:pPr>
            <w:r w:rsidRPr="005F7861">
              <w:rPr>
                <w:b/>
                <w:sz w:val="20"/>
                <w:szCs w:val="20"/>
              </w:rPr>
              <w:t>7494,4</w:t>
            </w:r>
          </w:p>
        </w:tc>
      </w:tr>
      <w:tr w:rsidR="00220B3F" w:rsidRPr="005F7861" w:rsidTr="00220B3F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firstLine="17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оптимистичный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7 267,5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7 324,0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color w:val="000000"/>
                <w:sz w:val="20"/>
                <w:szCs w:val="20"/>
              </w:rPr>
            </w:pPr>
            <w:r w:rsidRPr="005F7861">
              <w:rPr>
                <w:color w:val="000000"/>
                <w:sz w:val="20"/>
                <w:szCs w:val="20"/>
              </w:rPr>
              <w:t>7 358,0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7505,0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7505,7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3F" w:rsidRPr="005F7861" w:rsidRDefault="00220B3F" w:rsidP="00220B3F">
            <w:pPr>
              <w:ind w:hanging="39"/>
              <w:jc w:val="right"/>
              <w:rPr>
                <w:sz w:val="20"/>
                <w:szCs w:val="20"/>
              </w:rPr>
            </w:pPr>
            <w:r w:rsidRPr="005F7861">
              <w:rPr>
                <w:sz w:val="20"/>
                <w:szCs w:val="20"/>
              </w:rPr>
              <w:t>7508,8</w:t>
            </w:r>
          </w:p>
        </w:tc>
      </w:tr>
    </w:tbl>
    <w:p w:rsidR="00220B3F" w:rsidRPr="005F7861" w:rsidRDefault="00220B3F" w:rsidP="00220B3F">
      <w:pPr>
        <w:ind w:firstLine="709"/>
        <w:rPr>
          <w:sz w:val="20"/>
          <w:szCs w:val="20"/>
        </w:rPr>
      </w:pP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Прирост численности населения Томской области в Прогнозе скорректирован в сторону уменьшения в сравнении с показателями Стратегии на 0,2 пп. и остается неизменным до 2019 года, на данный показатель повлияло сокращение миграционного прироста населения региона и снижение коэффициента рождаемости.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 xml:space="preserve">Сложная макроэкономическая ситуация в стране и мире отразилась на темпе прироста </w:t>
      </w:r>
      <w:r w:rsidRPr="00370742">
        <w:rPr>
          <w:sz w:val="24"/>
          <w:szCs w:val="24"/>
        </w:rPr>
        <w:lastRenderedPageBreak/>
        <w:t>валового регионального продукта (в сопоставимых ценах) и по каждому году прогнозируемого периода ниже сравниваемых значений показателя Стратегии по базовому сценарию на 1,2; 1,0 и 0,6 пп. соответственно.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Индекс производства по виду экономической деятельности «Обрабатывающие производства» в Прогнозе скорректирован в меньшую сторону по отношению к Стратегии на 1,2; 3,1 и 1,5 пп., что обосновано падением производства в традиционных отраслях.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В связи с неблагоприятной конъюнктурой на мировом рынке углеводородного сырья и снижения его добычи показатель по виду экономической деятельности «Добы</w:t>
      </w:r>
      <w:r>
        <w:rPr>
          <w:sz w:val="24"/>
          <w:szCs w:val="24"/>
        </w:rPr>
        <w:t>ча полезных ископаемых» также с</w:t>
      </w:r>
      <w:r w:rsidRPr="00370742">
        <w:rPr>
          <w:sz w:val="24"/>
          <w:szCs w:val="24"/>
        </w:rPr>
        <w:t>нижен в Прогнозе на 1,0; 0,4 и 1,2 пп.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Индекс производства продукции сельского хозяйств</w:t>
      </w:r>
      <w:r>
        <w:rPr>
          <w:sz w:val="24"/>
          <w:szCs w:val="24"/>
        </w:rPr>
        <w:t>а на 2017 год согласно Прогнозу</w:t>
      </w:r>
      <w:r w:rsidRPr="00370742">
        <w:rPr>
          <w:sz w:val="24"/>
          <w:szCs w:val="24"/>
        </w:rPr>
        <w:t xml:space="preserve"> выше показателя, предусмотренного Стратегией, на 3,7 пп., на 2018 год прогнозируется превышение объемов производства, утвер</w:t>
      </w:r>
      <w:r>
        <w:rPr>
          <w:sz w:val="24"/>
          <w:szCs w:val="24"/>
        </w:rPr>
        <w:t>жденных Стратегией, на 0,6 пп.,</w:t>
      </w:r>
      <w:r w:rsidRPr="00370742">
        <w:rPr>
          <w:sz w:val="24"/>
          <w:szCs w:val="24"/>
        </w:rPr>
        <w:t xml:space="preserve"> на 2019 год совпадает со стратегическим показателем. Данные изменения сформированы с учетом реализуемых в настоящее время и планируемых к реализации в рассматриваемом прогнозном периоде крупных инвестиционных проектов в аграрной сфере.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Показатель «Доля инвестиций в основной капитал в ВРП» по базовому сценарию в Прогнозе на 2017-2019 годы скорректирован в меньшую сторону по отношению к показателю Стратегии на 5,8; 7,3 и 8,9 пп. в связи с сокращением инвестиционных программ, удорожанием товаров инвестиционного назначения и низким уровнем инвестиционного спроса.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Общеэкономический спад существенно повлиял на значения показателя «Реальные располагаемые денежные доходы населения» по базовому сценарию Прогноза, который ниже значений показателей Стратегии в анализируемом периоде на 1,5; 1,6 и 1,7 пп. соответственно.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Согласно табличной части Прогноза увеличение протяженности автомобильных дорог общего пользования с твердым покрытием в 2017-2019 годах запланировано больше сравниваемых показателей Стратегии на 226,9 км, 198,2 км и 168,8 км соответственно. Причины корректировки показателя Прогноза в сторону увеличения связаны с реализацией мероприятий по строительству и реконструкции дорожных объектов, а также с включением протяженности улиц в отдельных муниципальных образованиях в общий показатель протяженности автомобильных дорог общего пользования. Однако в среднесрочном периоде по базовому варианту Прогноза увеличение данного показателя не ожидается, в связи с ограниченным объемом финансирования и высокой степенью износа дорожного полотна в регионе, в качестве приоритетных направлений финансирования обозначены ремонт и содержание автомобильных дорог.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Необходимо обратить внимание на отсутствие в разделе 2 Прогноза параметров по инновационной деятельности на 2017 год и на период до 2019 года при наличии итогов за 2015 год и ожидаемых итогов за 2016 год.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 xml:space="preserve">Следует добавить, что Контрольно-счетная палата ранее в своих заключениях на законопроекты о бюджете неоднократно указывала на такие недостатки, как несоответствие показателей, отраженных в Прогнозе, показателям Стратегии, несоответствие количества вариантов (сценариев) и их наименований в Прогнозе и Стратегии, но </w:t>
      </w:r>
      <w:r w:rsidRPr="009539A0">
        <w:rPr>
          <w:sz w:val="24"/>
          <w:szCs w:val="24"/>
          <w:u w:val="single"/>
        </w:rPr>
        <w:t>данные расхождения имеют место и в анализируемом периоде</w:t>
      </w:r>
      <w:r w:rsidRPr="003707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70742">
        <w:rPr>
          <w:sz w:val="24"/>
          <w:szCs w:val="24"/>
        </w:rPr>
        <w:t xml:space="preserve">В результате вышеуказанных несоответствий для сопоставления прогнозных значений Стратегии со значениями показателей Прогноза не были включены в анализ два макроэкономических показателя развития Томской области на 2017-2019 </w:t>
      </w:r>
      <w:r>
        <w:rPr>
          <w:sz w:val="24"/>
          <w:szCs w:val="24"/>
        </w:rPr>
        <w:t>годы Стратегии</w:t>
      </w:r>
      <w:r w:rsidR="00286B1C" w:rsidRPr="00286B1C"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и три показателя</w:t>
      </w:r>
      <w:r w:rsidRPr="00370742">
        <w:rPr>
          <w:sz w:val="24"/>
          <w:szCs w:val="24"/>
        </w:rPr>
        <w:t xml:space="preserve"> получены расчетным способом (таблица 1). Для удобства сравнения использовано наименование сценария Стратегии «оптимистичный», которое применено к целевому варианту Прогноза социально-экономического развития Томской области на 2017 год и период до 2019 года. 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596B1A">
        <w:rPr>
          <w:b/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 w:rsidRPr="00370742">
        <w:rPr>
          <w:sz w:val="24"/>
          <w:szCs w:val="24"/>
        </w:rPr>
        <w:t>В соответствии с Законом о стратегическом планировании в Томской области в составе матери</w:t>
      </w:r>
      <w:r>
        <w:rPr>
          <w:sz w:val="24"/>
          <w:szCs w:val="24"/>
        </w:rPr>
        <w:t xml:space="preserve">алов и документов представлен </w:t>
      </w:r>
      <w:r w:rsidRPr="00B54A8E">
        <w:rPr>
          <w:b/>
          <w:sz w:val="24"/>
          <w:szCs w:val="24"/>
        </w:rPr>
        <w:t>проект Бюджетного прогноза Томской области на период до 2030 года</w:t>
      </w:r>
      <w:r w:rsidRPr="00370742">
        <w:rPr>
          <w:sz w:val="24"/>
          <w:szCs w:val="24"/>
        </w:rPr>
        <w:t xml:space="preserve"> (далее – Бюджетный прогноз).</w:t>
      </w:r>
      <w:r>
        <w:rPr>
          <w:sz w:val="24"/>
          <w:szCs w:val="24"/>
        </w:rPr>
        <w:t xml:space="preserve"> </w:t>
      </w:r>
      <w:r w:rsidRPr="00370742">
        <w:rPr>
          <w:sz w:val="24"/>
          <w:szCs w:val="24"/>
        </w:rPr>
        <w:t>Бюджетный прогноз сформирован в соответствии с требованиями к его содержанию, установленными пунктом 4 Порядка разработки и утверждения бюджетного прогноза Томской области на долгосрочный период (далее - Порядок разработки бю</w:t>
      </w:r>
      <w:r>
        <w:rPr>
          <w:sz w:val="24"/>
          <w:szCs w:val="24"/>
        </w:rPr>
        <w:t>джетного прогноза), утвержденного</w:t>
      </w:r>
      <w:r w:rsidRPr="00370742">
        <w:rPr>
          <w:sz w:val="24"/>
          <w:szCs w:val="24"/>
        </w:rPr>
        <w:t xml:space="preserve"> постановлением Администрации Томской </w:t>
      </w:r>
      <w:r w:rsidRPr="00370742">
        <w:rPr>
          <w:sz w:val="24"/>
          <w:szCs w:val="24"/>
        </w:rPr>
        <w:lastRenderedPageBreak/>
        <w:t>области, а также пунктом 4 статьи 170.1 Бюджетного кодекса РФ</w:t>
      </w:r>
      <w:r>
        <w:rPr>
          <w:sz w:val="24"/>
          <w:szCs w:val="24"/>
        </w:rPr>
        <w:t>.</w:t>
      </w:r>
      <w:r w:rsidRPr="00370742">
        <w:rPr>
          <w:sz w:val="24"/>
          <w:szCs w:val="24"/>
        </w:rPr>
        <w:t xml:space="preserve"> 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Бюджетный прогноз подготовлен на осно</w:t>
      </w:r>
      <w:r>
        <w:rPr>
          <w:sz w:val="24"/>
          <w:szCs w:val="24"/>
        </w:rPr>
        <w:t>ве макроэкономических параметров</w:t>
      </w:r>
      <w:r w:rsidRPr="00370742">
        <w:rPr>
          <w:sz w:val="24"/>
          <w:szCs w:val="24"/>
        </w:rPr>
        <w:t xml:space="preserve"> </w:t>
      </w:r>
      <w:r w:rsidRPr="008E69A0">
        <w:rPr>
          <w:sz w:val="24"/>
          <w:szCs w:val="24"/>
        </w:rPr>
        <w:t xml:space="preserve">предварительного </w:t>
      </w:r>
      <w:r w:rsidRPr="00370742">
        <w:rPr>
          <w:sz w:val="24"/>
          <w:szCs w:val="24"/>
        </w:rPr>
        <w:t>прогноза социально-экономического развития Томской области на период до 2030 года (далее – прогноз СЭР), который представлен в</w:t>
      </w:r>
      <w:r>
        <w:rPr>
          <w:sz w:val="24"/>
          <w:szCs w:val="24"/>
        </w:rPr>
        <w:t xml:space="preserve"> составе трех основных сценариев</w:t>
      </w:r>
      <w:r w:rsidRPr="00370742">
        <w:rPr>
          <w:sz w:val="24"/>
          <w:szCs w:val="24"/>
        </w:rPr>
        <w:t xml:space="preserve"> долгосрочного развития: консервативного, умеренно-оптимистичного (базового) и форсированного (целевого).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>Исходя из динамики основных макроэкономических показателей Томской области, которые свидетельствуют о сохранении устойчивой ситуации в ведущих секторах экономики и подтверждаются данными за 2015 год</w:t>
      </w:r>
      <w:r>
        <w:rPr>
          <w:sz w:val="24"/>
          <w:szCs w:val="24"/>
        </w:rPr>
        <w:t>,</w:t>
      </w:r>
      <w:r w:rsidRPr="00370742">
        <w:rPr>
          <w:sz w:val="24"/>
          <w:szCs w:val="24"/>
        </w:rPr>
        <w:t xml:space="preserve"> для разработки параметров Бюджетного прогноза на период до 2030 года использован базовый вариант прогноза СЭР. Данный вариант характеризует</w:t>
      </w:r>
      <w:r>
        <w:rPr>
          <w:sz w:val="24"/>
          <w:szCs w:val="24"/>
        </w:rPr>
        <w:t>ся</w:t>
      </w:r>
      <w:r w:rsidRPr="00370742">
        <w:rPr>
          <w:sz w:val="24"/>
          <w:szCs w:val="24"/>
        </w:rPr>
        <w:t xml:space="preserve"> дополнительными импульсами инновационного развития и усилением инвестиционной направленности экономического роста, а также возрастанием роли конкурентоспособного сектора высокотехнологичных производств и экономики знаний. </w:t>
      </w:r>
    </w:p>
    <w:p w:rsidR="00220B3F" w:rsidRPr="00370742" w:rsidRDefault="00220B3F" w:rsidP="00220B3F">
      <w:pPr>
        <w:ind w:firstLine="720"/>
        <w:rPr>
          <w:sz w:val="24"/>
          <w:szCs w:val="24"/>
        </w:rPr>
      </w:pPr>
      <w:r w:rsidRPr="00370742">
        <w:rPr>
          <w:sz w:val="24"/>
          <w:szCs w:val="24"/>
        </w:rPr>
        <w:t xml:space="preserve">При сопоставлении прогнозных значений показателей областного бюджета и консолидированного бюджета Томской области до 2030 года (приложение 2 к Бюджетному прогнозу) </w:t>
      </w:r>
      <w:r w:rsidRPr="001478A4">
        <w:rPr>
          <w:b/>
          <w:sz w:val="24"/>
          <w:szCs w:val="24"/>
        </w:rPr>
        <w:t>выявлено несоответствие показателя</w:t>
      </w:r>
      <w:r w:rsidRPr="00370742">
        <w:rPr>
          <w:sz w:val="24"/>
          <w:szCs w:val="24"/>
        </w:rPr>
        <w:t xml:space="preserve"> «Объем государственного долга» на 2018 и 2019 годы в абсолютном и процентном соотношении показателям, указанным в статье 9 пункта 2 законопроекта и пояснительной записке. Так, в приложении 2 данный показатель за 2018 и 2019 годы указан в объеме 32 887,0 млн. руб. (67,4%) и 31 842,8 млн. руб. (63%) соответственно, а в законопроекте и пояснительной записке </w:t>
      </w:r>
      <w:r w:rsidR="00286B1C">
        <w:rPr>
          <w:sz w:val="24"/>
          <w:szCs w:val="24"/>
        </w:rPr>
        <w:t xml:space="preserve">- </w:t>
      </w:r>
      <w:r w:rsidRPr="00370742">
        <w:rPr>
          <w:sz w:val="24"/>
          <w:szCs w:val="24"/>
        </w:rPr>
        <w:t>31 537,0 млн. руб. (64,6%) и 32 023,6 млн. руб. (63,4%).</w:t>
      </w:r>
    </w:p>
    <w:p w:rsidR="00220B3F" w:rsidRPr="00370742" w:rsidRDefault="00220B3F" w:rsidP="00220B3F">
      <w:pPr>
        <w:ind w:firstLine="708"/>
        <w:rPr>
          <w:sz w:val="24"/>
          <w:szCs w:val="24"/>
        </w:rPr>
      </w:pPr>
      <w:r w:rsidRPr="00370742">
        <w:rPr>
          <w:sz w:val="24"/>
          <w:szCs w:val="24"/>
        </w:rPr>
        <w:t>Необходимо обратить внимание</w:t>
      </w:r>
      <w:r w:rsidR="00286B1C">
        <w:rPr>
          <w:sz w:val="24"/>
          <w:szCs w:val="24"/>
        </w:rPr>
        <w:t xml:space="preserve"> на то</w:t>
      </w:r>
      <w:r w:rsidRPr="00370742">
        <w:rPr>
          <w:sz w:val="24"/>
          <w:szCs w:val="24"/>
        </w:rPr>
        <w:t>, что программно-целевой метод планировани</w:t>
      </w:r>
      <w:r>
        <w:rPr>
          <w:sz w:val="24"/>
          <w:szCs w:val="24"/>
        </w:rPr>
        <w:t>я</w:t>
      </w:r>
      <w:r w:rsidRPr="00370742">
        <w:rPr>
          <w:sz w:val="24"/>
          <w:szCs w:val="24"/>
        </w:rPr>
        <w:t xml:space="preserve"> расходов бюджета на основе комплексных государственных программ призван увязать долгосрочные и среднесрочные стратегические цели и задачи социально-экономического развития региона с бюджетным финансированием, однако на плановый период до 2030 года расходы детализированы только по двум строкам - «условно утвержденные расходы» и «расходы на обслуживание государст</w:t>
      </w:r>
      <w:r>
        <w:rPr>
          <w:sz w:val="24"/>
          <w:szCs w:val="24"/>
        </w:rPr>
        <w:t xml:space="preserve">венного долга» </w:t>
      </w:r>
      <w:r w:rsidR="00286B1C">
        <w:rPr>
          <w:sz w:val="24"/>
          <w:szCs w:val="24"/>
        </w:rPr>
        <w:t xml:space="preserve">- </w:t>
      </w:r>
      <w:r>
        <w:rPr>
          <w:sz w:val="24"/>
          <w:szCs w:val="24"/>
        </w:rPr>
        <w:t>без распределения</w:t>
      </w:r>
      <w:r w:rsidRPr="00370742">
        <w:rPr>
          <w:sz w:val="24"/>
          <w:szCs w:val="24"/>
        </w:rPr>
        <w:t xml:space="preserve"> расходов на программные и непрограммные мероприятия (раздел 2 приложения 1 к Бюджетному прогнозу).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B54A8E">
        <w:rPr>
          <w:b/>
          <w:sz w:val="24"/>
          <w:szCs w:val="24"/>
        </w:rPr>
        <w:t xml:space="preserve">Анализ увязки основных параметров Бюджетного прогноза с показателями Стратегии </w:t>
      </w:r>
      <w:r w:rsidRPr="00370742">
        <w:rPr>
          <w:sz w:val="24"/>
          <w:szCs w:val="24"/>
        </w:rPr>
        <w:t>(раздел VI Стратегии) выявил следующие недостатки: несоответствие наименований вариантов (сценариев) предварительного прогноза СЭР и Стратегии, состав показателей и их значений, отраженных в приложении 1 к Бюджетному прогнозу, показателям Стратегии.</w:t>
      </w:r>
    </w:p>
    <w:p w:rsidR="00220B3F" w:rsidRPr="00933CC7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 xml:space="preserve">Наименования только трех показателей Стратегии соответствуют показателям Бюджетного прогноза, три показателя возможны для сравнения только после дополнительных расчетов («Темп прироста валового регионального продукта в сопоставимых ценах», «Прирост численности населения», «Доля инвестиций в основной капитал в валовом региональном продукте»), наименования четырех показателей в Бюджетном прогнозе отсутствуют («Реальные располагаемые денежные доходы населения», «Темп снижения энергоемкости валового регионального продукта», «Протяженность автомобильных дорог общего пользования с твердым покрытием», «Число созданных и модернизированных высокопроизводительных рабочих мест»). </w:t>
      </w:r>
      <w:r w:rsidRPr="00933CC7">
        <w:rPr>
          <w:b/>
          <w:sz w:val="24"/>
          <w:szCs w:val="24"/>
        </w:rPr>
        <w:t>В результате только три целевых показателя социально-экономического развития из десяти</w:t>
      </w:r>
      <w:r>
        <w:rPr>
          <w:b/>
          <w:sz w:val="24"/>
          <w:szCs w:val="24"/>
        </w:rPr>
        <w:t>,</w:t>
      </w:r>
      <w:r w:rsidRPr="00933CC7">
        <w:rPr>
          <w:b/>
          <w:sz w:val="24"/>
          <w:szCs w:val="24"/>
        </w:rPr>
        <w:t xml:space="preserve"> предусмотренных Стратегией</w:t>
      </w:r>
      <w:r>
        <w:rPr>
          <w:b/>
          <w:sz w:val="24"/>
          <w:szCs w:val="24"/>
        </w:rPr>
        <w:t>,</w:t>
      </w:r>
      <w:r w:rsidRPr="00933CC7">
        <w:rPr>
          <w:b/>
          <w:sz w:val="24"/>
          <w:szCs w:val="24"/>
        </w:rPr>
        <w:t xml:space="preserve"> были представлены и анализируются в Бюджетном прогнозе</w:t>
      </w:r>
      <w:r w:rsidRPr="00933CC7">
        <w:rPr>
          <w:sz w:val="24"/>
          <w:szCs w:val="24"/>
        </w:rPr>
        <w:t xml:space="preserve">. 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</w:rPr>
        <w:t xml:space="preserve">Кроме того, прогнозные значения показателей Стратегии развития Томской области на 2020, 2025 и 2030 годы отражены к уровню 2013 года, </w:t>
      </w:r>
      <w:r>
        <w:rPr>
          <w:sz w:val="24"/>
          <w:szCs w:val="24"/>
        </w:rPr>
        <w:t xml:space="preserve">а </w:t>
      </w:r>
      <w:r w:rsidRPr="00370742">
        <w:rPr>
          <w:sz w:val="24"/>
          <w:szCs w:val="24"/>
        </w:rPr>
        <w:t>в прогнозе СЭР показатели за указанные годы отражены к показателям 2015 года.</w:t>
      </w:r>
    </w:p>
    <w:p w:rsidR="00220B3F" w:rsidRPr="00370742" w:rsidRDefault="00220B3F" w:rsidP="00220B3F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настоящее время </w:t>
      </w:r>
      <w:r w:rsidRPr="00370742">
        <w:rPr>
          <w:sz w:val="24"/>
          <w:szCs w:val="24"/>
        </w:rPr>
        <w:t xml:space="preserve">прогноз социально-экономического развития Томской области на период до 2030 года не разработан, в составе материалов Бюджетного прогноза представлены только описания параметров трех сценариев долгосрочного развития, основные макроэкономические показатели прогноза СЭР и краткая характеристика не всех видов экономической </w:t>
      </w:r>
      <w:r w:rsidRPr="00370742">
        <w:rPr>
          <w:sz w:val="24"/>
          <w:szCs w:val="24"/>
          <w:lang w:eastAsia="ru-RU"/>
        </w:rPr>
        <w:t xml:space="preserve">деятельности. 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Также</w:t>
      </w:r>
      <w:r w:rsidRPr="00370742">
        <w:rPr>
          <w:sz w:val="24"/>
          <w:szCs w:val="24"/>
        </w:rPr>
        <w:t xml:space="preserve"> необходимо отметить, что текстовая часть Бюджетного прогноза не содержит пояснений о причинах расхождения значений показателей прогноза СЭР с показателями Стратегии. В действительности данная информация в двух документах стратегического </w:t>
      </w:r>
      <w:r w:rsidRPr="00370742">
        <w:rPr>
          <w:sz w:val="24"/>
          <w:szCs w:val="24"/>
        </w:rPr>
        <w:lastRenderedPageBreak/>
        <w:t xml:space="preserve">планирования </w:t>
      </w:r>
      <w:r w:rsidRPr="003C6485">
        <w:rPr>
          <w:b/>
          <w:sz w:val="24"/>
          <w:szCs w:val="24"/>
        </w:rPr>
        <w:t>несопоставима</w:t>
      </w:r>
      <w:r w:rsidRPr="00370742">
        <w:rPr>
          <w:sz w:val="24"/>
          <w:szCs w:val="24"/>
        </w:rPr>
        <w:t xml:space="preserve"> по причине отсутствия в Стратегии большей части значений показателей в том виде, в котором показатели </w:t>
      </w:r>
      <w:r>
        <w:rPr>
          <w:sz w:val="24"/>
          <w:szCs w:val="24"/>
        </w:rPr>
        <w:t xml:space="preserve">представлены </w:t>
      </w:r>
      <w:r w:rsidRPr="00370742">
        <w:rPr>
          <w:sz w:val="24"/>
          <w:szCs w:val="24"/>
        </w:rPr>
        <w:t>в прогнозе СЭР и в Бюджетном прогнозе.</w:t>
      </w:r>
    </w:p>
    <w:p w:rsidR="00220B3F" w:rsidRPr="00707572" w:rsidRDefault="00220B3F" w:rsidP="00220B3F">
      <w:pPr>
        <w:ind w:firstLine="709"/>
        <w:rPr>
          <w:i/>
          <w:sz w:val="24"/>
          <w:szCs w:val="24"/>
          <w:lang w:eastAsia="ru-RU"/>
        </w:rPr>
      </w:pPr>
      <w:r w:rsidRPr="00370742">
        <w:rPr>
          <w:sz w:val="24"/>
          <w:szCs w:val="24"/>
        </w:rPr>
        <w:t xml:space="preserve">В материалах Бюджетного прогноза не </w:t>
      </w:r>
      <w:r w:rsidRPr="00370742">
        <w:rPr>
          <w:sz w:val="24"/>
          <w:szCs w:val="24"/>
          <w:lang w:eastAsia="ru-RU"/>
        </w:rPr>
        <w:t>представлено описание и не дана оценка степени влияния основных факторов, влияющих на положительные стороны развития экономики области в долгосрочном периоде в разрезе следующих видов экономической деятельности: «Жилищно-коммунальное хозяйство», «Внешнеэкономическая деятельность», «Малое и среднее предпринимательство», а также развитие «Здравоохранения» и «Образования». При этом пунктом 4 Порядка разработки и корректировки прогноза социально-экономического развития Томской области на д</w:t>
      </w:r>
      <w:r>
        <w:rPr>
          <w:sz w:val="24"/>
          <w:szCs w:val="24"/>
          <w:lang w:eastAsia="ru-RU"/>
        </w:rPr>
        <w:t xml:space="preserve">олгосрочный период установлено, что </w:t>
      </w:r>
      <w:r w:rsidRPr="00370742">
        <w:rPr>
          <w:sz w:val="24"/>
          <w:szCs w:val="24"/>
          <w:lang w:eastAsia="ru-RU"/>
        </w:rPr>
        <w:t xml:space="preserve">разработка показателей прогноза СЭР осуществляется с учетом прогноза </w:t>
      </w:r>
      <w:r w:rsidRPr="00707572">
        <w:rPr>
          <w:i/>
          <w:sz w:val="24"/>
          <w:szCs w:val="24"/>
          <w:lang w:eastAsia="ru-RU"/>
        </w:rPr>
        <w:t>по видам экономической деятельности, секторам, сферам и направлениям развития экономики.</w:t>
      </w:r>
    </w:p>
    <w:p w:rsidR="00220B3F" w:rsidRDefault="00220B3F" w:rsidP="00220B3F">
      <w:pPr>
        <w:ind w:firstLine="709"/>
        <w:rPr>
          <w:b/>
          <w:sz w:val="24"/>
          <w:szCs w:val="24"/>
          <w:lang w:eastAsia="ru-RU"/>
        </w:rPr>
      </w:pPr>
      <w:r w:rsidRPr="009E183C">
        <w:rPr>
          <w:sz w:val="24"/>
          <w:szCs w:val="24"/>
          <w:lang w:eastAsia="ru-RU"/>
        </w:rPr>
        <w:t xml:space="preserve">Отсутствие в Бюджетном прогнозе оценки шести макроэкономических показателей социально-экономического развития Томской области, различный состав показателей всех документов и отклонения  значений большей части анализируемых показателей Прогноза, Стратегии, предварительного прогноза СЭР, на основе которого составлен Бюджетный прогноз, </w:t>
      </w:r>
      <w:r w:rsidRPr="00DE08B2">
        <w:rPr>
          <w:b/>
          <w:sz w:val="24"/>
          <w:szCs w:val="24"/>
          <w:lang w:eastAsia="ru-RU"/>
        </w:rPr>
        <w:t>указывают на необходимость выработки единого подхода при разработке документов стратегического планирования, а также ставят под сомнение надежность и реалистичность показателей прогнозов социально-экономического развития Томской области на долгосрочный период.</w:t>
      </w:r>
    </w:p>
    <w:p w:rsidR="00220B3F" w:rsidRDefault="00220B3F" w:rsidP="00220B3F">
      <w:pPr>
        <w:ind w:firstLine="709"/>
        <w:rPr>
          <w:b/>
          <w:sz w:val="24"/>
          <w:szCs w:val="24"/>
          <w:lang w:eastAsia="ru-RU"/>
        </w:rPr>
      </w:pPr>
    </w:p>
    <w:p w:rsidR="00220B3F" w:rsidRPr="00D609D9" w:rsidRDefault="00220B3F" w:rsidP="00220B3F">
      <w:pPr>
        <w:ind w:firstLine="709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70742">
        <w:rPr>
          <w:sz w:val="24"/>
          <w:szCs w:val="24"/>
          <w:lang w:eastAsia="ru-RU"/>
        </w:rPr>
        <w:t xml:space="preserve">При реализации </w:t>
      </w:r>
      <w:r w:rsidRPr="00596B1A">
        <w:rPr>
          <w:b/>
          <w:sz w:val="24"/>
          <w:szCs w:val="24"/>
          <w:lang w:eastAsia="ru-RU"/>
        </w:rPr>
        <w:t>налоговой политики Томской области</w:t>
      </w:r>
      <w:r w:rsidRPr="00370742">
        <w:rPr>
          <w:sz w:val="24"/>
          <w:szCs w:val="24"/>
          <w:lang w:eastAsia="ru-RU"/>
        </w:rPr>
        <w:t xml:space="preserve"> на 2017</w:t>
      </w:r>
      <w:r>
        <w:rPr>
          <w:sz w:val="24"/>
          <w:szCs w:val="24"/>
          <w:lang w:eastAsia="ru-RU"/>
        </w:rPr>
        <w:t xml:space="preserve"> год</w:t>
      </w:r>
      <w:r w:rsidRPr="00370742"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t xml:space="preserve">на </w:t>
      </w:r>
      <w:r w:rsidRPr="00370742">
        <w:rPr>
          <w:sz w:val="24"/>
          <w:szCs w:val="24"/>
          <w:lang w:eastAsia="ru-RU"/>
        </w:rPr>
        <w:t>плановый период 2018 и 2019 годов особое внимание планируется уделить мобилизации доходов на федеральном и региональном уровнях. Целями налоговой политики являются сохранение бюджетной устойчивости, получение необходимого объема бюджетных доходов, а также дальнейшее применение мер налогового стимулирования отдельных категорий налогоплательщиков для привлечения инвестиций и развития предпринимательской деятельности.</w:t>
      </w:r>
    </w:p>
    <w:p w:rsidR="00220B3F" w:rsidRPr="00370742" w:rsidRDefault="00220B3F" w:rsidP="00220B3F">
      <w:pPr>
        <w:ind w:firstLine="709"/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>Для достижения указанных целей выбраны направления налоговой политики, предусматривающие реализацию мероприятий по оказанию государственной поддержки и совершенствованию специальных налоговых режимов для субъектов малого и среднего предпринимательства, стимулирование инвестиционной активности организаций приоритетных секторов экономики, а также мер</w:t>
      </w:r>
      <w:r>
        <w:rPr>
          <w:sz w:val="24"/>
          <w:szCs w:val="24"/>
          <w:lang w:eastAsia="ru-RU"/>
        </w:rPr>
        <w:t>,</w:t>
      </w:r>
      <w:r w:rsidRPr="00370742">
        <w:rPr>
          <w:sz w:val="24"/>
          <w:szCs w:val="24"/>
          <w:lang w:eastAsia="ru-RU"/>
        </w:rPr>
        <w:t xml:space="preserve"> направленных на увеличение доходов консолидированного бюджета Томской области.</w:t>
      </w:r>
    </w:p>
    <w:p w:rsidR="00220B3F" w:rsidRPr="00370742" w:rsidRDefault="00220B3F" w:rsidP="00220B3F">
      <w:pPr>
        <w:ind w:firstLine="709"/>
        <w:rPr>
          <w:sz w:val="24"/>
          <w:szCs w:val="24"/>
          <w:lang w:eastAsia="ru-RU"/>
        </w:rPr>
      </w:pPr>
    </w:p>
    <w:p w:rsidR="00220B3F" w:rsidRPr="00370742" w:rsidRDefault="00220B3F" w:rsidP="00220B3F">
      <w:pPr>
        <w:ind w:firstLine="709"/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 xml:space="preserve">Достижение цели </w:t>
      </w:r>
      <w:r w:rsidRPr="00596B1A">
        <w:rPr>
          <w:b/>
          <w:sz w:val="24"/>
          <w:szCs w:val="24"/>
          <w:lang w:eastAsia="ru-RU"/>
        </w:rPr>
        <w:t>бюджетной политики Томской области</w:t>
      </w:r>
      <w:r w:rsidRPr="00370742">
        <w:rPr>
          <w:sz w:val="24"/>
          <w:szCs w:val="24"/>
          <w:lang w:eastAsia="ru-RU"/>
        </w:rPr>
        <w:t xml:space="preserve"> прошлых лет и Бюджетного прогноза на долгосрочный период до 2030 года - обеспечение долгосрочной сбалансированности и устойчивости региональной финансовой системы в планируемом среднесрочном периоде на 2017-2019 годы</w:t>
      </w:r>
      <w:r w:rsidR="0052245A">
        <w:rPr>
          <w:sz w:val="24"/>
          <w:szCs w:val="24"/>
          <w:lang w:eastAsia="ru-RU"/>
        </w:rPr>
        <w:t xml:space="preserve"> - </w:t>
      </w:r>
      <w:r w:rsidRPr="00370742">
        <w:rPr>
          <w:sz w:val="24"/>
          <w:szCs w:val="24"/>
          <w:lang w:eastAsia="ru-RU"/>
        </w:rPr>
        <w:t xml:space="preserve"> предусмотрено посредством решения следующих задач:</w:t>
      </w:r>
    </w:p>
    <w:p w:rsidR="00220B3F" w:rsidRPr="00370742" w:rsidRDefault="00220B3F" w:rsidP="00220B3F">
      <w:pPr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>- повышение эффективности и результативности имеющихся инструментов программно-целевого управления Томской области;</w:t>
      </w:r>
    </w:p>
    <w:p w:rsidR="00220B3F" w:rsidRPr="00370742" w:rsidRDefault="00220B3F" w:rsidP="00220B3F">
      <w:pPr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>- повышение эффективности деятельности областных государственных учреждений, в том числе в части улучшения качества оказания государственных услуг населению;</w:t>
      </w:r>
    </w:p>
    <w:p w:rsidR="00220B3F" w:rsidRPr="00370742" w:rsidRDefault="00220B3F" w:rsidP="00220B3F">
      <w:pPr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>- совершенствование государственной поддержки реального сектора экономики и реализации инвестиционных проектов;</w:t>
      </w:r>
    </w:p>
    <w:p w:rsidR="00220B3F" w:rsidRPr="00370742" w:rsidRDefault="00220B3F" w:rsidP="00220B3F">
      <w:pPr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>- обеспечение открытости и прозрачности общественных финансов, в том числе путем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220B3F" w:rsidRPr="00370742" w:rsidRDefault="00220B3F" w:rsidP="00220B3F">
      <w:pPr>
        <w:ind w:firstLine="709"/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>Обеспечение соответствия цели и задач бюджетной политики Томской области основным направлениям бюджетной политики федерального уровня на предстоящий период 2017</w:t>
      </w:r>
      <w:r>
        <w:rPr>
          <w:sz w:val="24"/>
          <w:szCs w:val="24"/>
          <w:lang w:eastAsia="ru-RU"/>
        </w:rPr>
        <w:t>-2019 годов не было реализовано</w:t>
      </w:r>
      <w:r w:rsidRPr="00370742">
        <w:rPr>
          <w:sz w:val="24"/>
          <w:szCs w:val="24"/>
          <w:lang w:eastAsia="ru-RU"/>
        </w:rPr>
        <w:t xml:space="preserve"> по причине отсутствия соответствующего документа на федеральном уровне, но преемственность основных направлений бюджетной политики Российской Федерации на 2016 </w:t>
      </w:r>
      <w:r>
        <w:rPr>
          <w:sz w:val="24"/>
          <w:szCs w:val="24"/>
          <w:lang w:eastAsia="ru-RU"/>
        </w:rPr>
        <w:t xml:space="preserve">год </w:t>
      </w:r>
      <w:r w:rsidRPr="00370742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>плановый период 2017-2018 годов</w:t>
      </w:r>
      <w:r w:rsidRPr="00370742">
        <w:rPr>
          <w:sz w:val="24"/>
          <w:szCs w:val="24"/>
          <w:lang w:eastAsia="ru-RU"/>
        </w:rPr>
        <w:t xml:space="preserve"> Администрацией была учтена. </w:t>
      </w:r>
    </w:p>
    <w:p w:rsidR="00220B3F" w:rsidRPr="00370742" w:rsidRDefault="00220B3F" w:rsidP="00220B3F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Для достижения главной цели</w:t>
      </w:r>
      <w:r w:rsidRPr="00370742">
        <w:rPr>
          <w:sz w:val="24"/>
          <w:szCs w:val="24"/>
          <w:lang w:eastAsia="ru-RU"/>
        </w:rPr>
        <w:t xml:space="preserve"> в среднесрочном периоде предусмотрено принятие комплексных мер как правового, так и организац</w:t>
      </w:r>
      <w:r>
        <w:rPr>
          <w:sz w:val="24"/>
          <w:szCs w:val="24"/>
          <w:lang w:eastAsia="ru-RU"/>
        </w:rPr>
        <w:t>ионного характера, направленных</w:t>
      </w:r>
      <w:r w:rsidRPr="00370742">
        <w:rPr>
          <w:sz w:val="24"/>
          <w:szCs w:val="24"/>
          <w:lang w:eastAsia="ru-RU"/>
        </w:rPr>
        <w:t xml:space="preserve"> на повышение качества планирования и совершенствование системы оценки эффективности государственных программ.</w:t>
      </w:r>
    </w:p>
    <w:p w:rsidR="00220B3F" w:rsidRPr="00EE6394" w:rsidRDefault="00220B3F" w:rsidP="00220B3F">
      <w:pPr>
        <w:ind w:firstLine="709"/>
        <w:rPr>
          <w:sz w:val="24"/>
          <w:szCs w:val="24"/>
          <w:lang w:eastAsia="ru-RU"/>
        </w:rPr>
      </w:pPr>
      <w:r w:rsidRPr="00EE6394">
        <w:rPr>
          <w:sz w:val="24"/>
          <w:szCs w:val="24"/>
          <w:lang w:eastAsia="ru-RU"/>
        </w:rPr>
        <w:t xml:space="preserve">Планируемые на предстоящий трехлетний период мероприятия в целях повышения эффективности деятельности областных государственных учреждений, в том числе в части улучшения качества государственных услуг, </w:t>
      </w:r>
      <w:r w:rsidRPr="00EE6394">
        <w:rPr>
          <w:b/>
          <w:sz w:val="24"/>
          <w:szCs w:val="24"/>
          <w:lang w:eastAsia="ru-RU"/>
        </w:rPr>
        <w:t>основаны на необходимости внесения изменений в нормативные правовые акты,</w:t>
      </w:r>
      <w:r w:rsidRPr="00EE6394">
        <w:rPr>
          <w:sz w:val="24"/>
          <w:szCs w:val="24"/>
          <w:lang w:eastAsia="ru-RU"/>
        </w:rPr>
        <w:t xml:space="preserve"> регламентирующие порядок разработки государственных заданий на оказание государственных услуг (выполнение работ) и расчета нормативов финансовых затрат на их оказание, а также на определении механизма обеспечения контроля за достижением показателей качества и меры ответственности за надлежащее качество оказания государственных услуг населению.</w:t>
      </w:r>
    </w:p>
    <w:p w:rsidR="00220B3F" w:rsidRPr="00EE6394" w:rsidRDefault="00220B3F" w:rsidP="00220B3F">
      <w:pPr>
        <w:ind w:firstLine="709"/>
        <w:rPr>
          <w:sz w:val="24"/>
          <w:szCs w:val="24"/>
          <w:lang w:eastAsia="ru-RU"/>
        </w:rPr>
      </w:pPr>
      <w:r w:rsidRPr="00EE6394">
        <w:rPr>
          <w:sz w:val="24"/>
          <w:szCs w:val="24"/>
          <w:lang w:eastAsia="ru-RU"/>
        </w:rPr>
        <w:t xml:space="preserve">С целью снижения нагрузки на бюджет и устранения инфраструктурных ограничений развития реального сектора экономики при реализации инвестиционных проектов в 2017-2019 годах планируется заключение концессионных соглашений и расширение сферы применения механизма государственно-частного партнерства, в связи с этим предусмотрено приведение действующей нормативной базы в соответствие с положениями федерального законодательства и проведение на регулярной основе оценки эффективности использования бюджетных средств, направленных на капитальные вложения.  </w:t>
      </w:r>
    </w:p>
    <w:p w:rsidR="00220B3F" w:rsidRPr="00370742" w:rsidRDefault="00220B3F" w:rsidP="00220B3F">
      <w:pPr>
        <w:ind w:firstLine="709"/>
        <w:rPr>
          <w:sz w:val="24"/>
          <w:szCs w:val="24"/>
        </w:rPr>
      </w:pPr>
      <w:r w:rsidRPr="00370742">
        <w:rPr>
          <w:sz w:val="24"/>
          <w:szCs w:val="24"/>
          <w:lang w:eastAsia="ru-RU"/>
        </w:rPr>
        <w:t xml:space="preserve">В основных направлениях бюджетной политики Томской области </w:t>
      </w:r>
      <w:r w:rsidRPr="000517B2">
        <w:rPr>
          <w:b/>
          <w:sz w:val="24"/>
          <w:szCs w:val="24"/>
          <w:lang w:eastAsia="ru-RU"/>
        </w:rPr>
        <w:t>не нашли своего отражения вопросы и предпринимаемые для их решения меры</w:t>
      </w:r>
      <w:r w:rsidRPr="00370742">
        <w:rPr>
          <w:sz w:val="24"/>
          <w:szCs w:val="24"/>
          <w:lang w:eastAsia="ru-RU"/>
        </w:rPr>
        <w:t xml:space="preserve"> по совершенствованию процедур государственных закупок, внутреннего государственного финансового контроля и аудита, которые отмечены в направлениях по повышению эффективности бюджетных расходов федерального уровня, в том числе введение нормирования затрат, оценка и минимизация рисков, связанных с неисполнением контрактов.</w:t>
      </w:r>
      <w:r w:rsidRPr="00370742">
        <w:rPr>
          <w:sz w:val="24"/>
          <w:szCs w:val="24"/>
        </w:rPr>
        <w:t xml:space="preserve"> </w:t>
      </w:r>
    </w:p>
    <w:p w:rsidR="00220B3F" w:rsidRPr="00370742" w:rsidRDefault="00220B3F" w:rsidP="00220B3F">
      <w:pPr>
        <w:ind w:firstLine="709"/>
        <w:rPr>
          <w:sz w:val="24"/>
          <w:szCs w:val="24"/>
          <w:lang w:eastAsia="ru-RU"/>
        </w:rPr>
      </w:pPr>
      <w:r w:rsidRPr="00370742">
        <w:rPr>
          <w:sz w:val="24"/>
          <w:szCs w:val="24"/>
          <w:lang w:eastAsia="ru-RU"/>
        </w:rPr>
        <w:t>Не нашла отражения в составе целевых задач бюджетной политики на 2017-2019 годы задача, предусмотренная в составе Бюджетного прогноза на долгосрочный период до 2030 года по обеспечению высокого уровня долговой устойчивости региональных финансов, но в плановом периоде запланированы операции, связанные с управлением долгом: выкуп ранее размещенных ценных бумаг до даты их погашения, осуществление операций РЕПО с биржевыми облигациями Томской области, досрочное погашение кредитов кредитных организаций.</w:t>
      </w:r>
    </w:p>
    <w:p w:rsidR="00220B3F" w:rsidRPr="00370742" w:rsidRDefault="00220B3F" w:rsidP="00220B3F">
      <w:pPr>
        <w:ind w:firstLine="709"/>
        <w:rPr>
          <w:i/>
          <w:sz w:val="24"/>
          <w:szCs w:val="24"/>
          <w:highlight w:val="yellow"/>
          <w:lang w:eastAsia="ru-RU"/>
        </w:rPr>
      </w:pPr>
    </w:p>
    <w:p w:rsidR="00220B3F" w:rsidRPr="00370742" w:rsidRDefault="00220B3F" w:rsidP="00220B3F">
      <w:pPr>
        <w:ind w:firstLine="540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 w:rsidR="005C60B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Pr="00370742">
        <w:rPr>
          <w:sz w:val="24"/>
          <w:szCs w:val="24"/>
        </w:rPr>
        <w:t>о исполнение Закона Томской области от 14.09.2009 № 177-ОЗ «О системе документов стратегического и программно-целевого планирования Томской обл</w:t>
      </w:r>
      <w:r>
        <w:rPr>
          <w:sz w:val="24"/>
          <w:szCs w:val="24"/>
        </w:rPr>
        <w:t>асти» (утратил силу 26.03.2015) принято</w:t>
      </w:r>
      <w:r w:rsidRPr="00370742">
        <w:rPr>
          <w:sz w:val="24"/>
          <w:szCs w:val="24"/>
        </w:rPr>
        <w:t xml:space="preserve"> Распоряжение Администрации Томской области от 16.04.2010 № 309-ра (ред. от 25.09.2013)</w:t>
      </w:r>
      <w:r>
        <w:rPr>
          <w:sz w:val="24"/>
          <w:szCs w:val="24"/>
        </w:rPr>
        <w:t>, которым  утверждено</w:t>
      </w:r>
      <w:r w:rsidRPr="00370742">
        <w:rPr>
          <w:sz w:val="24"/>
          <w:szCs w:val="24"/>
        </w:rPr>
        <w:t xml:space="preserve"> Положение о формировании и ведении </w:t>
      </w:r>
      <w:r w:rsidRPr="00E42812">
        <w:rPr>
          <w:b/>
          <w:sz w:val="24"/>
          <w:szCs w:val="24"/>
        </w:rPr>
        <w:t>реестра документов стратегического и программно-целевого планирования Томской области.</w:t>
      </w:r>
      <w:r>
        <w:rPr>
          <w:sz w:val="24"/>
          <w:szCs w:val="24"/>
        </w:rPr>
        <w:t xml:space="preserve"> До настоящего времени оно</w:t>
      </w:r>
      <w:r w:rsidRPr="00370742">
        <w:rPr>
          <w:sz w:val="24"/>
          <w:szCs w:val="24"/>
        </w:rPr>
        <w:t xml:space="preserve"> не актуализировано в связи с принятием Закона о стратегическом планировании в Томской области, несмотря на то, что пунктом 18 Плана подготовки документов стратегического планирования Том</w:t>
      </w:r>
      <w:r>
        <w:rPr>
          <w:sz w:val="24"/>
          <w:szCs w:val="24"/>
        </w:rPr>
        <w:t>ской области, утвержденного</w:t>
      </w:r>
      <w:r w:rsidRPr="00370742">
        <w:rPr>
          <w:sz w:val="24"/>
          <w:szCs w:val="24"/>
        </w:rPr>
        <w:t xml:space="preserve"> распоряжением Губернатора Томской области от 30.12.2014 №336-р, Департаменту экономики Администрации Томской области были даны соответствующие указания.</w:t>
      </w:r>
    </w:p>
    <w:p w:rsidR="00220B3F" w:rsidRPr="00370742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 xml:space="preserve">При подготовке </w:t>
      </w:r>
      <w:r>
        <w:rPr>
          <w:sz w:val="24"/>
          <w:szCs w:val="24"/>
        </w:rPr>
        <w:t xml:space="preserve">настоящего </w:t>
      </w:r>
      <w:r w:rsidRPr="00370742">
        <w:rPr>
          <w:sz w:val="24"/>
          <w:szCs w:val="24"/>
        </w:rPr>
        <w:t>заключения проведен анализ Реестра, размещенного на официальном сайте Администрации в сети Интернет, которым установлено следующее.</w:t>
      </w:r>
    </w:p>
    <w:p w:rsidR="00220B3F" w:rsidRPr="00370742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>Структура и содержание действующего Реестра не соответствует системе документов стратегического планирования.</w:t>
      </w:r>
      <w:r>
        <w:rPr>
          <w:sz w:val="24"/>
          <w:szCs w:val="24"/>
        </w:rPr>
        <w:t xml:space="preserve"> </w:t>
      </w:r>
      <w:r w:rsidRPr="00370742">
        <w:rPr>
          <w:sz w:val="24"/>
          <w:szCs w:val="24"/>
        </w:rPr>
        <w:t>Так</w:t>
      </w:r>
      <w:r>
        <w:rPr>
          <w:sz w:val="24"/>
          <w:szCs w:val="24"/>
        </w:rPr>
        <w:t>,</w:t>
      </w:r>
      <w:r w:rsidRPr="00370742">
        <w:rPr>
          <w:sz w:val="24"/>
          <w:szCs w:val="24"/>
        </w:rPr>
        <w:t xml:space="preserve"> Реестр состоит из двух разделов («Стратегия развития Томской области 2030 года» и «Реестр отраслевых стратегий Томской области»), в один из которых включены документы, не входящие в систему документов стратегического планирования (стратегии развития, региональные программы, концепции, схемы и планы).</w:t>
      </w:r>
    </w:p>
    <w:p w:rsidR="00220B3F" w:rsidRPr="00370742" w:rsidRDefault="00220B3F" w:rsidP="00220B3F">
      <w:pPr>
        <w:ind w:firstLine="540"/>
        <w:rPr>
          <w:b/>
          <w:sz w:val="24"/>
          <w:szCs w:val="24"/>
          <w:shd w:val="clear" w:color="auto" w:fill="FFFFFF"/>
        </w:rPr>
      </w:pPr>
      <w:r w:rsidRPr="00B97121">
        <w:rPr>
          <w:b/>
          <w:sz w:val="24"/>
          <w:szCs w:val="24"/>
        </w:rPr>
        <w:t>Из 15-ти включенных в Реестр отраслевых документов только</w:t>
      </w:r>
      <w:r w:rsidRPr="00370742">
        <w:rPr>
          <w:sz w:val="24"/>
          <w:szCs w:val="24"/>
        </w:rPr>
        <w:t xml:space="preserve"> </w:t>
      </w:r>
      <w:r w:rsidRPr="00370742">
        <w:rPr>
          <w:b/>
          <w:sz w:val="24"/>
          <w:szCs w:val="24"/>
          <w:shd w:val="clear" w:color="auto" w:fill="FFFFFF"/>
        </w:rPr>
        <w:t>5 документов утверждены или скорректированы после принятия Стратегии:</w:t>
      </w:r>
    </w:p>
    <w:p w:rsidR="00220B3F" w:rsidRPr="00370742" w:rsidRDefault="00220B3F" w:rsidP="00220B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42">
        <w:rPr>
          <w:rFonts w:ascii="Times New Roman" w:hAnsi="Times New Roman" w:cs="Times New Roman"/>
          <w:sz w:val="24"/>
          <w:szCs w:val="24"/>
        </w:rPr>
        <w:t xml:space="preserve">- Схема и программа развития электроэнергетики Томской области на период 2016-2020 </w:t>
      </w:r>
      <w:r w:rsidRPr="00370742">
        <w:rPr>
          <w:rFonts w:ascii="Times New Roman" w:hAnsi="Times New Roman" w:cs="Times New Roman"/>
          <w:sz w:val="24"/>
          <w:szCs w:val="24"/>
        </w:rPr>
        <w:lastRenderedPageBreak/>
        <w:t>годы, утверждена распоряжением Губернатора Томской области от 18.08.2015 № 264-р;</w:t>
      </w:r>
    </w:p>
    <w:p w:rsidR="00220B3F" w:rsidRPr="00370742" w:rsidRDefault="00220B3F" w:rsidP="00220B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42">
        <w:rPr>
          <w:rFonts w:ascii="Times New Roman" w:hAnsi="Times New Roman" w:cs="Times New Roman"/>
          <w:sz w:val="24"/>
          <w:szCs w:val="24"/>
        </w:rPr>
        <w:t>- Региональная программа капитального ремонта общего имущества в многоквартирных домах, расположенных на территории Томской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742">
        <w:rPr>
          <w:rFonts w:ascii="Times New Roman" w:hAnsi="Times New Roman" w:cs="Times New Roman"/>
          <w:sz w:val="24"/>
          <w:szCs w:val="24"/>
        </w:rPr>
        <w:t xml:space="preserve"> на 2014-2043 годы утверждена постановлением Администрации Томской области от 30.12.2013 № 597а (в ред. постановлений Администрации Томской области от 29.08.2014 № 323а, от 26.03.2015 № 94а, от 04.12.2015 № 441а);</w:t>
      </w:r>
    </w:p>
    <w:p w:rsidR="00220B3F" w:rsidRPr="00370742" w:rsidRDefault="00220B3F" w:rsidP="00220B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42">
        <w:rPr>
          <w:rFonts w:ascii="Times New Roman" w:hAnsi="Times New Roman" w:cs="Times New Roman"/>
          <w:sz w:val="24"/>
          <w:szCs w:val="24"/>
        </w:rPr>
        <w:t>- Региональная адресная программа по переселению граждан из аварийного жилищного фонда в 2013-2017 годах утверждена распоряжением Администрации Томской области от 06.05.2013 № 362-ра (в ред. распоряжений Администрации Томской от 05.08.2016 № 542-ра);</w:t>
      </w:r>
    </w:p>
    <w:p w:rsidR="00220B3F" w:rsidRPr="00370742" w:rsidRDefault="00220B3F" w:rsidP="00220B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42">
        <w:rPr>
          <w:rFonts w:ascii="Times New Roman" w:hAnsi="Times New Roman" w:cs="Times New Roman"/>
          <w:sz w:val="24"/>
          <w:szCs w:val="24"/>
        </w:rPr>
        <w:t>- Региональная целевая программа «Развитие жилищного строительства в Томской области на период 2015-2020 годы» утверждена распоряжением Администрации Томской области от 20.04.2015 № 239-ра;</w:t>
      </w:r>
    </w:p>
    <w:p w:rsidR="00220B3F" w:rsidRPr="00370742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>- Концепция развития отрасли информационных технологий в Томской области на период до 2025 года утверждена постановлением Администрации Томской области от 29.06.2016 № 261а.</w:t>
      </w:r>
    </w:p>
    <w:p w:rsidR="00220B3F" w:rsidRPr="00370742" w:rsidRDefault="00220B3F" w:rsidP="00220B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0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Остальные 10 отраслевых документов разработаны до принятия Стратегии, что может свидетельствовать об их несогласованности с </w:t>
      </w:r>
      <w:r w:rsidRPr="00370742">
        <w:rPr>
          <w:rFonts w:ascii="Times New Roman" w:hAnsi="Times New Roman" w:cs="Times New Roman"/>
          <w:sz w:val="24"/>
          <w:szCs w:val="24"/>
        </w:rPr>
        <w:t>приоритетами, целями и задачами регионального управления на долгосрочный период.</w:t>
      </w:r>
    </w:p>
    <w:p w:rsidR="00220B3F" w:rsidRPr="00370742" w:rsidRDefault="00220B3F" w:rsidP="00220B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42">
        <w:rPr>
          <w:rFonts w:ascii="Times New Roman" w:hAnsi="Times New Roman" w:cs="Times New Roman"/>
          <w:sz w:val="24"/>
          <w:szCs w:val="24"/>
        </w:rPr>
        <w:t xml:space="preserve">Из пяти указанных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370742">
        <w:rPr>
          <w:rFonts w:ascii="Times New Roman" w:hAnsi="Times New Roman" w:cs="Times New Roman"/>
          <w:sz w:val="24"/>
          <w:szCs w:val="24"/>
        </w:rPr>
        <w:t>отраслевых документов только «Концепция развития отрасли информационных технологий в Томской области на период до 2025 года» соответствует требованиям к ее разработке, установленным ст. 15 Закона о стратегическом планировании в Томской области.</w:t>
      </w:r>
    </w:p>
    <w:p w:rsidR="00220B3F" w:rsidRPr="00370742" w:rsidRDefault="00220B3F" w:rsidP="00220B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42">
        <w:rPr>
          <w:rFonts w:ascii="Times New Roman" w:hAnsi="Times New Roman" w:cs="Times New Roman"/>
          <w:sz w:val="24"/>
          <w:szCs w:val="24"/>
        </w:rPr>
        <w:t xml:space="preserve">В документе «Схема и программа развития электроэнергетики Томской области на период 2016-2020 годы» только один раз указана ссылка на Стратегию социально-экономического развития Томской области до 2020 года (с прогнозом до 2025 года), утратившую силу 27.04.2015 года. Никаких разъяснений об особенностях развития электроэнергетики Томской области в целях реализации основных положений </w:t>
      </w:r>
      <w:r w:rsidRPr="00370742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Стратегии СЭР ТО до 2030 года документ не содержит.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742">
        <w:rPr>
          <w:rFonts w:ascii="Times New Roman" w:hAnsi="Times New Roman" w:cs="Times New Roman"/>
          <w:sz w:val="24"/>
          <w:szCs w:val="24"/>
        </w:rPr>
        <w:t>Вместе с тем, данный документ необходим для развития сетевой инфраструктуры и генерирующих мощностей, обеспечение удовлетворения долгосрочного и среднесрочного спроса на электрическую энергию и мощность, формирование стабильных и благоприятных условий для привлечения инвестиций в строительство объектов электроэнергетики в Томской области.</w:t>
      </w:r>
    </w:p>
    <w:p w:rsidR="00220B3F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 xml:space="preserve">Три региональные программы, включенные в </w:t>
      </w:r>
      <w:r w:rsidRPr="00370742">
        <w:rPr>
          <w:sz w:val="24"/>
          <w:szCs w:val="24"/>
          <w:shd w:val="clear" w:color="auto" w:fill="FFFFFF"/>
        </w:rPr>
        <w:t>Реестр отраслевых стратегий (</w:t>
      </w:r>
      <w:r w:rsidRPr="00370742">
        <w:rPr>
          <w:sz w:val="24"/>
          <w:szCs w:val="24"/>
        </w:rPr>
        <w:t>«Региональная программа капитального ремонта общего имущества в многоквартирных домах, расположенных на территории Томской области на 2014-2043 годы», «Региональная адресная программа по переселению граждан из аварийного жилищного фонда в 2013-2017 годах» и «Региональная целевая программа «Развитие жилищного строительства в Томской области на период 2015-2020 годы») приняты в соответствии с п. 5 ст. 13 Закона о стратегическом планировании в Томской области, согласно которому в целях получения межбюджетных трансфертов из федерального бюджета Администрация Томской области вправе принимать иные программы в соответствии с требованиями федеральных правовых актов и в порядке, установленном нормативными правовы</w:t>
      </w:r>
      <w:r>
        <w:rPr>
          <w:sz w:val="24"/>
          <w:szCs w:val="24"/>
        </w:rPr>
        <w:t xml:space="preserve">ми актами Российской Федерации. </w:t>
      </w:r>
      <w:r w:rsidRPr="00370742">
        <w:rPr>
          <w:sz w:val="24"/>
          <w:szCs w:val="24"/>
        </w:rPr>
        <w:t>При этом указанные региональные программы по сути являются формальными документами (выдержками из государственной программы)</w:t>
      </w:r>
      <w:r>
        <w:rPr>
          <w:sz w:val="24"/>
          <w:szCs w:val="24"/>
        </w:rPr>
        <w:t>,</w:t>
      </w:r>
      <w:r w:rsidRPr="00370742">
        <w:rPr>
          <w:sz w:val="24"/>
          <w:szCs w:val="24"/>
        </w:rPr>
        <w:t xml:space="preserve"> так как не являются документами стратегического планирования и содержат цели, задачи, показатели и мероприятия подпрограмм 2, 3 и 4 государств</w:t>
      </w:r>
      <w:r>
        <w:rPr>
          <w:sz w:val="24"/>
          <w:szCs w:val="24"/>
        </w:rPr>
        <w:t xml:space="preserve">енной программы </w:t>
      </w:r>
      <w:r w:rsidRPr="00370742">
        <w:rPr>
          <w:sz w:val="24"/>
          <w:szCs w:val="24"/>
        </w:rPr>
        <w:t>«Обеспечение доступности жилья и улучшение качества жилищных условий населения Томской области», реализация которой предусмотрена законопроектом.</w:t>
      </w:r>
    </w:p>
    <w:p w:rsidR="00220B3F" w:rsidRPr="00370742" w:rsidRDefault="00220B3F" w:rsidP="00220B3F">
      <w:pPr>
        <w:ind w:firstLine="540"/>
        <w:rPr>
          <w:sz w:val="24"/>
          <w:szCs w:val="24"/>
        </w:rPr>
      </w:pPr>
    </w:p>
    <w:p w:rsidR="00220B3F" w:rsidRPr="00370742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>Согласно подпункту 6 пункта 4 статьи 8 Закона о стратегическом планировании в Томской области Стратегия должна содержать в т</w:t>
      </w:r>
      <w:r w:rsidR="00AB631B">
        <w:rPr>
          <w:sz w:val="24"/>
          <w:szCs w:val="24"/>
        </w:rPr>
        <w:t xml:space="preserve">ом </w:t>
      </w:r>
      <w:r w:rsidRPr="00370742">
        <w:rPr>
          <w:sz w:val="24"/>
          <w:szCs w:val="24"/>
        </w:rPr>
        <w:t>ч</w:t>
      </w:r>
      <w:r w:rsidR="00AB631B">
        <w:rPr>
          <w:sz w:val="24"/>
          <w:szCs w:val="24"/>
        </w:rPr>
        <w:t>исле</w:t>
      </w:r>
      <w:r w:rsidRPr="00370742">
        <w:rPr>
          <w:sz w:val="24"/>
          <w:szCs w:val="24"/>
        </w:rPr>
        <w:t xml:space="preserve"> оценку финансовых ресурсов, необходимых для ее реализации.</w:t>
      </w:r>
      <w:r>
        <w:rPr>
          <w:sz w:val="24"/>
          <w:szCs w:val="24"/>
        </w:rPr>
        <w:t xml:space="preserve"> </w:t>
      </w:r>
      <w:r w:rsidRPr="00370742">
        <w:rPr>
          <w:sz w:val="24"/>
          <w:szCs w:val="24"/>
        </w:rPr>
        <w:t xml:space="preserve">Фактически в </w:t>
      </w:r>
      <w:r w:rsidRPr="00370742">
        <w:rPr>
          <w:sz w:val="24"/>
          <w:szCs w:val="24"/>
          <w:shd w:val="clear" w:color="auto" w:fill="FFFFFF"/>
        </w:rPr>
        <w:t xml:space="preserve">Стратегии содержатся </w:t>
      </w:r>
      <w:r w:rsidRPr="00370742">
        <w:rPr>
          <w:sz w:val="24"/>
          <w:szCs w:val="24"/>
        </w:rPr>
        <w:t>три оценочных параметра объемов финансовых ресурсов на весь период ее реализации:</w:t>
      </w:r>
    </w:p>
    <w:p w:rsidR="00220B3F" w:rsidRPr="00370742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>- 1 258 млрд.руб. - прогноз расходов консолидированного бюджета Томской области на 2015</w:t>
      </w:r>
      <w:r w:rsidR="00AB631B">
        <w:rPr>
          <w:sz w:val="24"/>
          <w:szCs w:val="24"/>
        </w:rPr>
        <w:t>-2</w:t>
      </w:r>
      <w:r w:rsidRPr="00370742">
        <w:rPr>
          <w:sz w:val="24"/>
          <w:szCs w:val="24"/>
        </w:rPr>
        <w:t xml:space="preserve">030 годы при объеме государственного долга Томской области не более 50% от налоговых и </w:t>
      </w:r>
      <w:r w:rsidRPr="00370742">
        <w:rPr>
          <w:sz w:val="24"/>
          <w:szCs w:val="24"/>
        </w:rPr>
        <w:lastRenderedPageBreak/>
        <w:t>неналоговых доходов в 2030 году (согласно прогнозу социально-экономического развития Томской области на период до 2030 года с учетом сохранения общих направлений налоговой, бюджетной и долговой политики Томской области);</w:t>
      </w:r>
    </w:p>
    <w:p w:rsidR="00220B3F" w:rsidRPr="00370742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>- свыше 254 млрд.руб. - за счет всех источников на реализацию приоритетных инфраструктурных объектов Концепции создания в Томской области инновационного территориального центра (в рамках федерального проекта по созданию инновационного территориального центра «ИНО Томск»);</w:t>
      </w:r>
    </w:p>
    <w:p w:rsidR="00220B3F" w:rsidRPr="00370742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>- не менее 3400 млрд.руб. инвестиций в основной капитал, из которых не менее 3100 млрд.руб.- за счет внебюджетных источников (необходимо привлечь в Томскую область с 2015 года по 2030 год для успешного экономического роста согласно прогнозу социально-экономического развития Томской области на период до 2030 года).</w:t>
      </w:r>
    </w:p>
    <w:p w:rsidR="00220B3F" w:rsidRDefault="00220B3F" w:rsidP="00220B3F">
      <w:pPr>
        <w:ind w:firstLine="540"/>
        <w:rPr>
          <w:sz w:val="24"/>
          <w:szCs w:val="24"/>
        </w:rPr>
      </w:pPr>
      <w:r w:rsidRPr="00370742">
        <w:rPr>
          <w:sz w:val="24"/>
          <w:szCs w:val="24"/>
        </w:rPr>
        <w:t>Иных сведений, характеризующих необходимые для достижения целей Стратегии объемы финансовых ресурсов и обеспечивающих какую-либо увязку финансовых ресурсов, определенных Стратегией с бюджетным и внебюджетным финансированием, документ не содержит.</w:t>
      </w:r>
    </w:p>
    <w:p w:rsidR="00220B3F" w:rsidRDefault="00220B3F" w:rsidP="00220B3F">
      <w:pPr>
        <w:ind w:firstLine="540"/>
        <w:rPr>
          <w:sz w:val="24"/>
          <w:szCs w:val="24"/>
        </w:rPr>
      </w:pPr>
    </w:p>
    <w:p w:rsidR="00220B3F" w:rsidRPr="00370742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Представленные характеристики и замечания </w:t>
      </w:r>
      <w:r w:rsidRPr="0076063C">
        <w:rPr>
          <w:b/>
          <w:sz w:val="24"/>
          <w:szCs w:val="24"/>
          <w:lang w:eastAsia="ru-RU"/>
        </w:rPr>
        <w:t xml:space="preserve">свидетельствуют о необходимости усиления контроля за </w:t>
      </w:r>
      <w:r w:rsidRPr="0076063C">
        <w:rPr>
          <w:b/>
          <w:sz w:val="24"/>
          <w:szCs w:val="24"/>
        </w:rPr>
        <w:t>своевременной разработкой и корректировкой документов стратегического планирования.</w:t>
      </w:r>
      <w:r>
        <w:rPr>
          <w:sz w:val="24"/>
          <w:szCs w:val="24"/>
        </w:rPr>
        <w:t xml:space="preserve"> Это </w:t>
      </w:r>
      <w:r>
        <w:rPr>
          <w:sz w:val="24"/>
          <w:szCs w:val="24"/>
          <w:lang w:eastAsia="ru-RU"/>
        </w:rPr>
        <w:t>обеспечит необходимую гибкость</w:t>
      </w:r>
      <w:r w:rsidRPr="00370742">
        <w:rPr>
          <w:sz w:val="24"/>
          <w:szCs w:val="24"/>
          <w:lang w:eastAsia="ru-RU"/>
        </w:rPr>
        <w:t xml:space="preserve"> главного документа стратегического планирования, в соответствии с которым принимаются другие документы стратегического планирования региона на среднесрочный и долгосрочный периоды, а также </w:t>
      </w:r>
      <w:r>
        <w:rPr>
          <w:sz w:val="24"/>
          <w:szCs w:val="24"/>
          <w:lang w:eastAsia="ru-RU"/>
        </w:rPr>
        <w:t xml:space="preserve"> проведение</w:t>
      </w:r>
      <w:r w:rsidRPr="00370742">
        <w:rPr>
          <w:sz w:val="24"/>
          <w:szCs w:val="24"/>
          <w:lang w:eastAsia="ru-RU"/>
        </w:rPr>
        <w:t xml:space="preserve"> качественного </w:t>
      </w:r>
      <w:r>
        <w:rPr>
          <w:sz w:val="24"/>
          <w:szCs w:val="24"/>
          <w:lang w:eastAsia="ru-RU"/>
        </w:rPr>
        <w:t xml:space="preserve">и достоверного </w:t>
      </w:r>
      <w:r w:rsidRPr="00370742">
        <w:rPr>
          <w:sz w:val="24"/>
          <w:szCs w:val="24"/>
          <w:lang w:eastAsia="ru-RU"/>
        </w:rPr>
        <w:t>мониторинга реализации стратегических цел</w:t>
      </w:r>
      <w:r>
        <w:rPr>
          <w:sz w:val="24"/>
          <w:szCs w:val="24"/>
          <w:lang w:eastAsia="ru-RU"/>
        </w:rPr>
        <w:t>ей и</w:t>
      </w:r>
      <w:r w:rsidRPr="00370742">
        <w:rPr>
          <w:sz w:val="24"/>
          <w:szCs w:val="24"/>
          <w:lang w:eastAsia="ru-RU"/>
        </w:rPr>
        <w:t xml:space="preserve"> задач</w:t>
      </w:r>
      <w:r>
        <w:rPr>
          <w:sz w:val="24"/>
          <w:szCs w:val="24"/>
          <w:lang w:eastAsia="ru-RU"/>
        </w:rPr>
        <w:t>.</w:t>
      </w:r>
    </w:p>
    <w:p w:rsidR="00220B3F" w:rsidRPr="00370742" w:rsidRDefault="00220B3F" w:rsidP="00220B3F">
      <w:pPr>
        <w:rPr>
          <w:sz w:val="24"/>
          <w:szCs w:val="24"/>
          <w:highlight w:val="yellow"/>
        </w:rPr>
      </w:pPr>
    </w:p>
    <w:p w:rsidR="00220B3F" w:rsidRDefault="00220B3F" w:rsidP="00220B3F">
      <w:pPr>
        <w:ind w:firstLine="708"/>
        <w:rPr>
          <w:b/>
          <w:sz w:val="24"/>
          <w:szCs w:val="24"/>
        </w:rPr>
      </w:pPr>
      <w:r w:rsidRPr="009775DF">
        <w:rPr>
          <w:b/>
          <w:sz w:val="24"/>
          <w:szCs w:val="24"/>
        </w:rPr>
        <w:t>3. Анализ основных макроэкономических показателей прогноза социально-экономического развития Томской области</w:t>
      </w:r>
    </w:p>
    <w:p w:rsidR="00220B3F" w:rsidRDefault="00220B3F" w:rsidP="00220B3F">
      <w:pPr>
        <w:ind w:firstLine="708"/>
        <w:rPr>
          <w:b/>
          <w:sz w:val="24"/>
          <w:szCs w:val="24"/>
        </w:rPr>
      </w:pPr>
    </w:p>
    <w:p w:rsidR="00220B3F" w:rsidRPr="004F4D7E" w:rsidRDefault="00220B3F" w:rsidP="00220B3F">
      <w:pPr>
        <w:ind w:firstLine="708"/>
        <w:rPr>
          <w:sz w:val="24"/>
          <w:szCs w:val="24"/>
        </w:rPr>
      </w:pPr>
      <w:r w:rsidRPr="004F4D7E">
        <w:rPr>
          <w:sz w:val="24"/>
          <w:szCs w:val="24"/>
        </w:rPr>
        <w:t xml:space="preserve">В представленном Администрацией прогнозе основных показателей социально-экономического развития области ожидаемый объем валового регионального продукта (ВРП) в 2016 году оценивается в номинальном выражении 507,3 млрд.руб., в реальном выражении – </w:t>
      </w:r>
      <w:r>
        <w:rPr>
          <w:sz w:val="24"/>
          <w:szCs w:val="24"/>
        </w:rPr>
        <w:t>99,3</w:t>
      </w:r>
      <w:r w:rsidRPr="004F4D7E">
        <w:rPr>
          <w:sz w:val="24"/>
          <w:szCs w:val="24"/>
        </w:rPr>
        <w:t xml:space="preserve">%, индекс потребительских цен </w:t>
      </w:r>
      <w:r>
        <w:rPr>
          <w:sz w:val="24"/>
          <w:szCs w:val="24"/>
        </w:rPr>
        <w:t>(декабрь к декабрю</w:t>
      </w:r>
      <w:r w:rsidRPr="004F4D7E">
        <w:rPr>
          <w:sz w:val="24"/>
          <w:szCs w:val="24"/>
        </w:rPr>
        <w:t>) – 106,5%, при прогнозных значениях, использованных при составлении проекта областного бюджета на 2016 год</w:t>
      </w:r>
      <w:r w:rsidR="00AB631B"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– 516,2 млрд.руб., 100,</w:t>
      </w:r>
      <w:r>
        <w:rPr>
          <w:sz w:val="24"/>
          <w:szCs w:val="24"/>
        </w:rPr>
        <w:t>1</w:t>
      </w:r>
      <w:r w:rsidRPr="004F4D7E">
        <w:rPr>
          <w:sz w:val="24"/>
          <w:szCs w:val="24"/>
        </w:rPr>
        <w:t>% и 107,</w:t>
      </w:r>
      <w:r>
        <w:rPr>
          <w:sz w:val="24"/>
          <w:szCs w:val="24"/>
        </w:rPr>
        <w:t>2</w:t>
      </w:r>
      <w:r w:rsidRPr="004F4D7E">
        <w:rPr>
          <w:sz w:val="24"/>
          <w:szCs w:val="24"/>
        </w:rPr>
        <w:t>% соответственно.</w:t>
      </w:r>
      <w:r w:rsidRPr="004F4D7E">
        <w:rPr>
          <w:bCs/>
          <w:sz w:val="24"/>
          <w:szCs w:val="24"/>
        </w:rPr>
        <w:t xml:space="preserve"> Основные макроэкономические показатели социально-экономического развития Томской области с прогнозом до 2018 года приведены в П</w:t>
      </w:r>
      <w:r>
        <w:rPr>
          <w:sz w:val="24"/>
          <w:szCs w:val="24"/>
        </w:rPr>
        <w:t>риложении 1 к настоящему з</w:t>
      </w:r>
      <w:r w:rsidRPr="004F4D7E">
        <w:rPr>
          <w:sz w:val="24"/>
          <w:szCs w:val="24"/>
        </w:rPr>
        <w:t>аключению.</w:t>
      </w:r>
    </w:p>
    <w:p w:rsidR="00220B3F" w:rsidRPr="004F4D7E" w:rsidRDefault="00220B3F" w:rsidP="00220B3F">
      <w:pPr>
        <w:ind w:firstLine="708"/>
        <w:rPr>
          <w:sz w:val="24"/>
          <w:szCs w:val="24"/>
        </w:rPr>
      </w:pPr>
      <w:r w:rsidRPr="004F4D7E">
        <w:rPr>
          <w:sz w:val="24"/>
          <w:szCs w:val="24"/>
        </w:rPr>
        <w:t>Темпы прироста объемов ВРП на 2017-2019 го</w:t>
      </w:r>
      <w:r>
        <w:rPr>
          <w:sz w:val="24"/>
          <w:szCs w:val="24"/>
        </w:rPr>
        <w:t>ды прогнозируются в размере 0,9%, 2,0</w:t>
      </w:r>
      <w:r w:rsidRPr="004F4D7E">
        <w:rPr>
          <w:sz w:val="24"/>
          <w:szCs w:val="24"/>
        </w:rPr>
        <w:t>% и 2,5%, прогноз по индексу потре</w:t>
      </w:r>
      <w:r>
        <w:rPr>
          <w:sz w:val="24"/>
          <w:szCs w:val="24"/>
        </w:rPr>
        <w:t>бительских цен составляет 105,0%, 104,7% и 104,2</w:t>
      </w:r>
      <w:r w:rsidRPr="004F4D7E">
        <w:rPr>
          <w:sz w:val="24"/>
          <w:szCs w:val="24"/>
        </w:rPr>
        <w:t>% соответственно.</w:t>
      </w:r>
    </w:p>
    <w:p w:rsidR="00220B3F" w:rsidRPr="004F4D7E" w:rsidRDefault="00220B3F" w:rsidP="00220B3F">
      <w:pPr>
        <w:ind w:firstLine="708"/>
        <w:rPr>
          <w:sz w:val="24"/>
          <w:szCs w:val="24"/>
        </w:rPr>
      </w:pPr>
      <w:r w:rsidRPr="004F4D7E">
        <w:rPr>
          <w:sz w:val="24"/>
          <w:szCs w:val="24"/>
        </w:rPr>
        <w:t>Согласно материалам к законопроекту за основу при составлении консолидированного бюджета Томской области на 2017-2019 годы принят вариант 1 (базовый), что соответствует Прогнозу социально-экономического развития Российской Федерации на 2017 год и на плановый период 2018-2019 годов, и который характеризует развитие томской экономики в условиях сохранения консервативной бюджетной политики, в т.ч. в части социальных обязательств.</w:t>
      </w:r>
    </w:p>
    <w:p w:rsidR="00220B3F" w:rsidRPr="004F4D7E" w:rsidRDefault="00220B3F" w:rsidP="00220B3F">
      <w:pPr>
        <w:ind w:firstLine="708"/>
        <w:rPr>
          <w:sz w:val="24"/>
          <w:szCs w:val="24"/>
        </w:rPr>
      </w:pPr>
      <w:r w:rsidRPr="004F4D7E">
        <w:rPr>
          <w:sz w:val="24"/>
          <w:szCs w:val="24"/>
        </w:rPr>
        <w:t>Анализ увязки основных макроэкономических показателей прогноза социально-экономического развития Томской области по базовому варианту с соответствующими показателями по России приведен в Приложении 2.</w:t>
      </w:r>
    </w:p>
    <w:p w:rsidR="00220B3F" w:rsidRPr="004F4D7E" w:rsidRDefault="00220B3F" w:rsidP="00220B3F">
      <w:pPr>
        <w:ind w:firstLine="708"/>
        <w:rPr>
          <w:sz w:val="24"/>
          <w:szCs w:val="24"/>
        </w:rPr>
      </w:pPr>
      <w:r w:rsidRPr="004F4D7E">
        <w:rPr>
          <w:sz w:val="24"/>
          <w:szCs w:val="24"/>
        </w:rPr>
        <w:t>В целом динамика изменения реального объема ВРП Томской области соответствует общему тренду уровня ВВП России (диаграмма 1), за исключением 2015 года, когда ВРП области продемонстрировал менее серьезное «проседание»</w:t>
      </w:r>
      <w:r w:rsidR="000A6E64">
        <w:rPr>
          <w:sz w:val="24"/>
          <w:szCs w:val="24"/>
        </w:rPr>
        <w:t xml:space="preserve">, </w:t>
      </w:r>
      <w:r w:rsidRPr="004F4D7E">
        <w:rPr>
          <w:sz w:val="24"/>
          <w:szCs w:val="24"/>
        </w:rPr>
        <w:t xml:space="preserve"> чем ВВП России</w:t>
      </w:r>
      <w:r w:rsidR="000A6E64">
        <w:rPr>
          <w:sz w:val="24"/>
          <w:szCs w:val="24"/>
        </w:rPr>
        <w:t xml:space="preserve">, </w:t>
      </w:r>
      <w:r w:rsidRPr="004F4D7E">
        <w:rPr>
          <w:sz w:val="24"/>
          <w:szCs w:val="24"/>
        </w:rPr>
        <w:t xml:space="preserve"> и более оптимистичного прогноза по ВВП на 2016 год.</w:t>
      </w:r>
    </w:p>
    <w:p w:rsidR="00220B3F" w:rsidRDefault="00220B3F" w:rsidP="00220B3F">
      <w:pPr>
        <w:ind w:firstLine="709"/>
        <w:jc w:val="center"/>
        <w:rPr>
          <w:sz w:val="24"/>
          <w:szCs w:val="24"/>
        </w:rPr>
      </w:pPr>
      <w:r w:rsidRPr="004F4D7E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20B3F" w:rsidRDefault="00220B3F" w:rsidP="00220B3F">
      <w:pPr>
        <w:ind w:firstLine="709"/>
        <w:jc w:val="center"/>
        <w:rPr>
          <w:sz w:val="24"/>
          <w:szCs w:val="24"/>
        </w:rPr>
      </w:pPr>
    </w:p>
    <w:p w:rsidR="00220B3F" w:rsidRDefault="00220B3F" w:rsidP="00220B3F">
      <w:pPr>
        <w:ind w:firstLine="709"/>
        <w:jc w:val="center"/>
        <w:rPr>
          <w:sz w:val="24"/>
          <w:szCs w:val="24"/>
        </w:rPr>
      </w:pPr>
    </w:p>
    <w:p w:rsidR="00220B3F" w:rsidRDefault="00220B3F" w:rsidP="00220B3F">
      <w:pPr>
        <w:ind w:firstLine="709"/>
        <w:jc w:val="center"/>
        <w:rPr>
          <w:sz w:val="24"/>
          <w:szCs w:val="24"/>
        </w:rPr>
      </w:pPr>
    </w:p>
    <w:p w:rsidR="00220B3F" w:rsidRPr="004F4D7E" w:rsidRDefault="00220B3F" w:rsidP="00220B3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д</w:t>
      </w:r>
      <w:r w:rsidRPr="004F4D7E">
        <w:rPr>
          <w:sz w:val="24"/>
          <w:szCs w:val="24"/>
        </w:rPr>
        <w:t>иаграмма 1</w:t>
      </w:r>
    </w:p>
    <w:p w:rsidR="00220B3F" w:rsidRDefault="00220B3F" w:rsidP="00220B3F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37250" cy="2998470"/>
            <wp:effectExtent l="0" t="0" r="25400" b="1143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0B3F" w:rsidRDefault="00220B3F" w:rsidP="00220B3F">
      <w:pPr>
        <w:spacing w:line="288" w:lineRule="auto"/>
        <w:ind w:firstLine="709"/>
        <w:jc w:val="center"/>
      </w:pP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 xml:space="preserve">Согласно данным Минэкономразвития </w:t>
      </w:r>
      <w:r>
        <w:rPr>
          <w:sz w:val="24"/>
          <w:szCs w:val="24"/>
        </w:rPr>
        <w:t xml:space="preserve">РФ </w:t>
      </w:r>
      <w:r w:rsidRPr="004F4D7E">
        <w:rPr>
          <w:sz w:val="24"/>
          <w:szCs w:val="24"/>
        </w:rPr>
        <w:t>наибольшее снижение темпов роста по итогам 8 месяцев 2016 года отмечается в строительстве (-4,6 п.п.) и оптовой торговле (-5,7 п.п.).</w:t>
      </w:r>
      <w:r>
        <w:rPr>
          <w:sz w:val="24"/>
          <w:szCs w:val="24"/>
        </w:rPr>
        <w:t xml:space="preserve"> </w:t>
      </w:r>
      <w:r w:rsidRPr="004F4D7E">
        <w:rPr>
          <w:sz w:val="24"/>
          <w:szCs w:val="24"/>
        </w:rPr>
        <w:t>Применительно к оценочным показателям экономики Томской области картина выглядит следующим образом. Наиболее слабые темпы роста за 8 месяцев т.г. показали производство и распределение электроэнергии, газа и воды – 93,5 %, сельское хозяйство – 97,5 %, розничная торговля – 97,9 % и платные услуги населению – 97,3 %.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Так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динамика производства основных товаров-представителей в январе-августе 2016 года по сравнению с январем-августом 2015 года была следующей.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В</w:t>
      </w:r>
      <w:r w:rsidRPr="004F4D7E">
        <w:rPr>
          <w:sz w:val="24"/>
          <w:szCs w:val="24"/>
        </w:rPr>
        <w:t xml:space="preserve"> </w:t>
      </w:r>
      <w:r w:rsidRPr="004F4D7E">
        <w:rPr>
          <w:b/>
          <w:sz w:val="24"/>
          <w:szCs w:val="24"/>
        </w:rPr>
        <w:t>добыче полезных ископаемых</w:t>
      </w:r>
      <w:r w:rsidRPr="004F4D7E">
        <w:rPr>
          <w:sz w:val="24"/>
          <w:szCs w:val="24"/>
        </w:rPr>
        <w:t xml:space="preserve"> </w:t>
      </w:r>
      <w:r w:rsidRPr="001F4EA7">
        <w:rPr>
          <w:i/>
          <w:sz w:val="24"/>
          <w:szCs w:val="24"/>
        </w:rPr>
        <w:t>снизилась</w:t>
      </w:r>
      <w:r w:rsidRPr="001F4EA7">
        <w:rPr>
          <w:sz w:val="24"/>
          <w:szCs w:val="24"/>
        </w:rPr>
        <w:t xml:space="preserve"> добыча газа природного и попутного на 9,5 %, нефти – на 3,3 %,</w:t>
      </w:r>
      <w:r w:rsidRPr="004F4D7E">
        <w:rPr>
          <w:sz w:val="24"/>
          <w:szCs w:val="24"/>
        </w:rPr>
        <w:t xml:space="preserve"> гальки, гравия, щебня – на 1,3 %; в то же время </w:t>
      </w:r>
      <w:r w:rsidRPr="004F4D7E">
        <w:rPr>
          <w:i/>
          <w:sz w:val="24"/>
          <w:szCs w:val="24"/>
        </w:rPr>
        <w:t>выросла</w:t>
      </w:r>
      <w:r w:rsidRPr="004F4D7E">
        <w:rPr>
          <w:sz w:val="24"/>
          <w:szCs w:val="24"/>
        </w:rPr>
        <w:t xml:space="preserve"> добыча песка природного - на 7,4 %.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В</w:t>
      </w:r>
      <w:r w:rsidRPr="004F4D7E">
        <w:rPr>
          <w:sz w:val="24"/>
          <w:szCs w:val="24"/>
        </w:rPr>
        <w:t xml:space="preserve"> </w:t>
      </w:r>
      <w:r w:rsidRPr="004F4D7E">
        <w:rPr>
          <w:b/>
          <w:sz w:val="24"/>
          <w:szCs w:val="24"/>
        </w:rPr>
        <w:t>производстве пищевых продуктов</w:t>
      </w:r>
      <w:r w:rsidRPr="004F4D7E">
        <w:rPr>
          <w:sz w:val="24"/>
          <w:szCs w:val="24"/>
        </w:rPr>
        <w:t xml:space="preserve"> </w:t>
      </w:r>
      <w:r w:rsidRPr="004F4D7E">
        <w:rPr>
          <w:i/>
          <w:sz w:val="24"/>
          <w:szCs w:val="24"/>
        </w:rPr>
        <w:t>увеличилось</w:t>
      </w:r>
      <w:r w:rsidRPr="004F4D7E">
        <w:rPr>
          <w:sz w:val="24"/>
          <w:szCs w:val="24"/>
        </w:rPr>
        <w:t xml:space="preserve"> производство масла сливочного – на 61,9 %, творога – на 53,6 %, сметаны - на 41,5 %, кефира - на 18,7 %, мяса и субпродуктов пищевых домашней птицы - на 7,5 %. </w:t>
      </w:r>
      <w:r w:rsidRPr="004F4D7E">
        <w:rPr>
          <w:i/>
          <w:sz w:val="24"/>
          <w:szCs w:val="24"/>
        </w:rPr>
        <w:t>Меньше</w:t>
      </w:r>
      <w:r w:rsidRPr="004F4D7E">
        <w:rPr>
          <w:sz w:val="24"/>
          <w:szCs w:val="24"/>
        </w:rPr>
        <w:t xml:space="preserve"> произведено молока жидкого обработанного - на 15,5%, хлеба и хлебобулочных изделий - на 5,3 %, изделий колбасных - на 2,1 %, пива, кроме отходов пивоварения - на 0,4 %.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В обработке древесины и производстве изделий из дерева</w:t>
      </w:r>
      <w:r w:rsidRPr="004F4D7E">
        <w:rPr>
          <w:sz w:val="24"/>
          <w:szCs w:val="24"/>
        </w:rPr>
        <w:t xml:space="preserve"> </w:t>
      </w:r>
      <w:r w:rsidRPr="004F4D7E">
        <w:rPr>
          <w:i/>
          <w:sz w:val="24"/>
          <w:szCs w:val="24"/>
        </w:rPr>
        <w:t>выросло</w:t>
      </w:r>
      <w:r w:rsidRPr="004F4D7E">
        <w:rPr>
          <w:sz w:val="24"/>
          <w:szCs w:val="24"/>
        </w:rPr>
        <w:t xml:space="preserve"> производство древесины топливной на 19,7 %. </w:t>
      </w:r>
      <w:r w:rsidRPr="004F4D7E">
        <w:rPr>
          <w:i/>
          <w:sz w:val="24"/>
          <w:szCs w:val="24"/>
        </w:rPr>
        <w:t>Сократилось</w:t>
      </w:r>
      <w:r w:rsidRPr="004F4D7E">
        <w:rPr>
          <w:sz w:val="24"/>
          <w:szCs w:val="24"/>
        </w:rPr>
        <w:t xml:space="preserve"> производство шпона лущеного на 5,0 %.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В производстве прочих неметаллических минеральных продуктов</w:t>
      </w:r>
      <w:r w:rsidRPr="004F4D7E">
        <w:rPr>
          <w:sz w:val="24"/>
          <w:szCs w:val="24"/>
        </w:rPr>
        <w:t xml:space="preserve"> </w:t>
      </w:r>
      <w:r w:rsidRPr="004F4D7E">
        <w:rPr>
          <w:i/>
          <w:sz w:val="24"/>
          <w:szCs w:val="24"/>
        </w:rPr>
        <w:t>выросло</w:t>
      </w:r>
      <w:r w:rsidRPr="004F4D7E">
        <w:rPr>
          <w:sz w:val="24"/>
          <w:szCs w:val="24"/>
        </w:rPr>
        <w:t xml:space="preserve"> производство черепицы, плитки, плит и аналогичных изделий из цемента, бетона или искусственного камня на 9,7 %. </w:t>
      </w:r>
      <w:r w:rsidRPr="004F4D7E">
        <w:rPr>
          <w:i/>
          <w:sz w:val="24"/>
          <w:szCs w:val="24"/>
        </w:rPr>
        <w:t>Снизилось</w:t>
      </w:r>
      <w:r w:rsidRPr="004F4D7E">
        <w:rPr>
          <w:sz w:val="24"/>
          <w:szCs w:val="24"/>
        </w:rPr>
        <w:t xml:space="preserve"> производство конструкций и деталей сборных железобетонных на 38,9 %.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В производстве электрооборудования, электронного и оптического оборудования</w:t>
      </w:r>
      <w:r w:rsidRPr="004F4D7E">
        <w:rPr>
          <w:sz w:val="24"/>
          <w:szCs w:val="24"/>
        </w:rPr>
        <w:t xml:space="preserve"> </w:t>
      </w:r>
      <w:r w:rsidRPr="004F4D7E">
        <w:rPr>
          <w:i/>
          <w:sz w:val="24"/>
          <w:szCs w:val="24"/>
        </w:rPr>
        <w:t>увеличилось</w:t>
      </w:r>
      <w:r w:rsidRPr="004F4D7E">
        <w:rPr>
          <w:sz w:val="24"/>
          <w:szCs w:val="24"/>
        </w:rPr>
        <w:t xml:space="preserve"> производство ламп накаливания, ламп газоразрядных, ламп дуговых на 4,6 %. </w:t>
      </w:r>
      <w:r w:rsidRPr="00F811E1">
        <w:rPr>
          <w:i/>
          <w:sz w:val="24"/>
          <w:szCs w:val="24"/>
        </w:rPr>
        <w:t>Уменьшилось</w:t>
      </w:r>
      <w:r w:rsidRPr="004F4D7E">
        <w:rPr>
          <w:sz w:val="24"/>
          <w:szCs w:val="24"/>
        </w:rPr>
        <w:t xml:space="preserve"> производство электродвигателей переменного тока многофазных мощностью более 750 Вт, но не более 75 кВт на 25,8 %, проводников электрического тока прочих на напряжение не более 1 кВ (с соединительными приспособлениями или без них) - на 0,4 %.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В производстве и распределении электроэнергии, газа и воды</w:t>
      </w:r>
      <w:r w:rsidRPr="004F4D7E">
        <w:rPr>
          <w:sz w:val="24"/>
          <w:szCs w:val="24"/>
        </w:rPr>
        <w:t xml:space="preserve"> производство тепловой энергии осталось на уровне предыдущего года, а электроэнергии сократилось на 9,2 %.</w:t>
      </w:r>
    </w:p>
    <w:p w:rsidR="00220B3F" w:rsidRPr="00C143DC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 xml:space="preserve">Индекс промышленного производства за январь-август составил 98,7 % при темпе роста отгруженной продукции промпроизводства – 95,8 %. Анализ помесячной динамики свидетельствует о замедлении промышленного производства и риске достижения ИПП по итогам </w:t>
      </w:r>
      <w:r w:rsidRPr="004F4D7E">
        <w:rPr>
          <w:sz w:val="24"/>
          <w:szCs w:val="24"/>
        </w:rPr>
        <w:lastRenderedPageBreak/>
        <w:t>года при сохранении сложившейся динамики не выше 98 %.</w:t>
      </w:r>
      <w:r>
        <w:rPr>
          <w:sz w:val="24"/>
          <w:szCs w:val="24"/>
        </w:rPr>
        <w:t xml:space="preserve"> </w:t>
      </w:r>
      <w:r w:rsidRPr="004F4D7E">
        <w:rPr>
          <w:sz w:val="24"/>
          <w:szCs w:val="24"/>
        </w:rPr>
        <w:t>Так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только по итогам января и августа 2016 года ИПП показал максимальное значение</w:t>
      </w:r>
      <w:r>
        <w:rPr>
          <w:sz w:val="24"/>
          <w:szCs w:val="24"/>
        </w:rPr>
        <w:t xml:space="preserve"> в текущем году – 98,1% и 98,7</w:t>
      </w:r>
      <w:r w:rsidRPr="004F4D7E">
        <w:rPr>
          <w:sz w:val="24"/>
          <w:szCs w:val="24"/>
        </w:rPr>
        <w:t>% соответственно. Минимальные значения ИПП за</w:t>
      </w:r>
      <w:r>
        <w:rPr>
          <w:sz w:val="24"/>
          <w:szCs w:val="24"/>
        </w:rPr>
        <w:t>фиксированы по итогам мая (87,2%) и июня (85,6</w:t>
      </w:r>
      <w:r w:rsidRPr="004F4D7E">
        <w:rPr>
          <w:sz w:val="24"/>
          <w:szCs w:val="24"/>
        </w:rPr>
        <w:t>%).</w:t>
      </w:r>
      <w:r>
        <w:rPr>
          <w:sz w:val="24"/>
          <w:szCs w:val="24"/>
        </w:rPr>
        <w:t xml:space="preserve"> </w:t>
      </w:r>
      <w:r w:rsidRPr="00C143DC">
        <w:rPr>
          <w:sz w:val="24"/>
          <w:szCs w:val="24"/>
        </w:rPr>
        <w:t xml:space="preserve">Общая картина итогов развития Томской области в 2015-2016 годах подготовлена на основе данных Томскстата и изложена в таблице </w:t>
      </w:r>
      <w:r>
        <w:rPr>
          <w:sz w:val="24"/>
          <w:szCs w:val="24"/>
        </w:rPr>
        <w:t>2</w:t>
      </w:r>
      <w:r w:rsidRPr="00C143DC">
        <w:rPr>
          <w:sz w:val="24"/>
          <w:szCs w:val="24"/>
        </w:rPr>
        <w:t>.</w:t>
      </w:r>
    </w:p>
    <w:p w:rsidR="00220B3F" w:rsidRPr="004F4D7E" w:rsidRDefault="00220B3F" w:rsidP="00220B3F">
      <w:pPr>
        <w:ind w:firstLine="709"/>
        <w:jc w:val="center"/>
        <w:rPr>
          <w:sz w:val="24"/>
          <w:szCs w:val="24"/>
        </w:rPr>
      </w:pPr>
      <w:r w:rsidRPr="004F4D7E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т</w:t>
      </w:r>
      <w:r w:rsidRPr="004F4D7E">
        <w:rPr>
          <w:sz w:val="24"/>
          <w:szCs w:val="24"/>
        </w:rPr>
        <w:t xml:space="preserve">аблица </w:t>
      </w:r>
      <w:r>
        <w:rPr>
          <w:sz w:val="24"/>
          <w:szCs w:val="24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0A0" w:firstRow="1" w:lastRow="0" w:firstColumn="1" w:lastColumn="0" w:noHBand="0" w:noVBand="0"/>
      </w:tblPr>
      <w:tblGrid>
        <w:gridCol w:w="2263"/>
        <w:gridCol w:w="1276"/>
        <w:gridCol w:w="1276"/>
        <w:gridCol w:w="1276"/>
        <w:gridCol w:w="1275"/>
        <w:gridCol w:w="993"/>
        <w:gridCol w:w="992"/>
      </w:tblGrid>
      <w:tr w:rsidR="00220B3F" w:rsidRPr="0052192E" w:rsidTr="00220B3F">
        <w:trPr>
          <w:trHeight w:val="43"/>
          <w:tblHeader/>
          <w:jc w:val="center"/>
        </w:trPr>
        <w:tc>
          <w:tcPr>
            <w:tcW w:w="2263" w:type="dxa"/>
            <w:vMerge w:val="restart"/>
          </w:tcPr>
          <w:p w:rsidR="00220B3F" w:rsidRPr="00C47937" w:rsidRDefault="00220B3F" w:rsidP="00220B3F">
            <w:pPr>
              <w:spacing w:line="288" w:lineRule="auto"/>
              <w:ind w:firstLine="32"/>
              <w:jc w:val="center"/>
              <w:rPr>
                <w:bCs/>
                <w:sz w:val="20"/>
                <w:szCs w:val="20"/>
              </w:rPr>
            </w:pPr>
            <w:r w:rsidRPr="00C47937">
              <w:rPr>
                <w:bCs/>
                <w:sz w:val="20"/>
                <w:szCs w:val="20"/>
              </w:rPr>
              <w:t>Наименование</w:t>
            </w:r>
          </w:p>
          <w:p w:rsidR="00220B3F" w:rsidRPr="00C47937" w:rsidRDefault="00220B3F" w:rsidP="00220B3F">
            <w:pPr>
              <w:spacing w:line="288" w:lineRule="auto"/>
              <w:ind w:firstLine="32"/>
              <w:jc w:val="center"/>
              <w:rPr>
                <w:bCs/>
                <w:sz w:val="20"/>
                <w:szCs w:val="20"/>
              </w:rPr>
            </w:pPr>
            <w:r w:rsidRPr="00C47937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2552" w:type="dxa"/>
            <w:gridSpan w:val="2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январь-март</w:t>
            </w:r>
          </w:p>
        </w:tc>
        <w:tc>
          <w:tcPr>
            <w:tcW w:w="2551" w:type="dxa"/>
            <w:gridSpan w:val="2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январь-август</w:t>
            </w:r>
          </w:p>
        </w:tc>
      </w:tr>
      <w:tr w:rsidR="00220B3F" w:rsidRPr="0052192E" w:rsidTr="00220B3F">
        <w:trPr>
          <w:trHeight w:val="43"/>
          <w:tblHeader/>
          <w:jc w:val="center"/>
        </w:trPr>
        <w:tc>
          <w:tcPr>
            <w:tcW w:w="2263" w:type="dxa"/>
            <w:vMerge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2016 год</w:t>
            </w: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97,6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96,2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99,5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85,6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98,7</w:t>
            </w:r>
          </w:p>
        </w:tc>
      </w:tr>
      <w:tr w:rsidR="00220B3F" w:rsidRPr="0052192E" w:rsidTr="00220B3F">
        <w:trPr>
          <w:trHeight w:val="46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105,6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101,2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120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103,3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105,4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97,5</w:t>
            </w:r>
          </w:p>
        </w:tc>
      </w:tr>
      <w:tr w:rsidR="00220B3F" w:rsidRPr="0052192E" w:rsidTr="00220B3F">
        <w:trPr>
          <w:trHeight w:val="100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87,9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105,0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86,5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84,3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111,8</w:t>
            </w:r>
          </w:p>
        </w:tc>
      </w:tr>
      <w:tr w:rsidR="00220B3F" w:rsidRPr="0052192E" w:rsidTr="00220B3F">
        <w:trPr>
          <w:trHeight w:val="255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90,1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99,1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94,3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97,9</w:t>
            </w:r>
          </w:p>
        </w:tc>
      </w:tr>
      <w:tr w:rsidR="00220B3F" w:rsidRPr="0052192E" w:rsidTr="00220B3F">
        <w:trPr>
          <w:trHeight w:val="66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96,8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97,3</w:t>
            </w:r>
          </w:p>
        </w:tc>
      </w:tr>
      <w:tr w:rsidR="00220B3F" w:rsidRPr="0052192E" w:rsidTr="00220B3F">
        <w:trPr>
          <w:trHeight w:val="141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Индекс цен производителей промышленных товаров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96,9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74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117,4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98,3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98,3</w:t>
            </w:r>
          </w:p>
        </w:tc>
      </w:tr>
      <w:tr w:rsidR="00220B3F" w:rsidRPr="0052192E" w:rsidTr="00220B3F">
        <w:trPr>
          <w:trHeight w:val="204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115,2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108,1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114,8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107,9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107,6</w:t>
            </w: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Объем оптовой торговли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84,0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99,8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80,4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105,4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78,5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107,5</w:t>
            </w: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107,7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82,9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96,7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95,7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88,1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-</w:t>
            </w: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Индекс цен на грузовые перевозки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103,6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118,2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104,9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115,8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107,0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108,4</w:t>
            </w: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январь-март</w:t>
            </w:r>
          </w:p>
        </w:tc>
        <w:tc>
          <w:tcPr>
            <w:tcW w:w="2551" w:type="dxa"/>
            <w:gridSpan w:val="2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2192E">
              <w:rPr>
                <w:bCs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</w:tcPr>
          <w:p w:rsidR="00220B3F" w:rsidRPr="0052192E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январь-июль</w:t>
            </w: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2015 год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2016 год</w:t>
            </w: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220B3F" w:rsidRPr="00C47937" w:rsidRDefault="00220B3F" w:rsidP="00220B3F">
            <w:pPr>
              <w:spacing w:line="288" w:lineRule="auto"/>
              <w:ind w:firstLine="32"/>
              <w:jc w:val="left"/>
              <w:rPr>
                <w:sz w:val="20"/>
                <w:szCs w:val="20"/>
              </w:rPr>
            </w:pPr>
            <w:r w:rsidRPr="00C47937">
              <w:rPr>
                <w:sz w:val="20"/>
                <w:szCs w:val="20"/>
              </w:rPr>
              <w:t>Сальдированный финансовый результат деятельности организаций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172,6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85,9</w:t>
            </w: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220B3F" w:rsidRPr="005C0605" w:rsidRDefault="00220B3F" w:rsidP="00220B3F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195,4</w:t>
            </w: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</w:p>
        </w:tc>
      </w:tr>
      <w:tr w:rsidR="00220B3F" w:rsidRPr="0052192E" w:rsidTr="00220B3F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220B3F" w:rsidRPr="005C0605" w:rsidRDefault="00220B3F" w:rsidP="00220B3F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0B3F" w:rsidRPr="0052192E" w:rsidRDefault="00220B3F" w:rsidP="00220B3F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B3F" w:rsidRPr="0052192E" w:rsidRDefault="00220B3F" w:rsidP="00220B3F">
            <w:pPr>
              <w:spacing w:line="288" w:lineRule="auto"/>
              <w:ind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52192E">
              <w:rPr>
                <w:sz w:val="20"/>
                <w:szCs w:val="20"/>
              </w:rPr>
              <w:t>3,3 раза</w:t>
            </w:r>
          </w:p>
        </w:tc>
        <w:tc>
          <w:tcPr>
            <w:tcW w:w="992" w:type="dxa"/>
          </w:tcPr>
          <w:p w:rsidR="00220B3F" w:rsidRPr="0052192E" w:rsidRDefault="00220B3F" w:rsidP="00220B3F">
            <w:pPr>
              <w:spacing w:line="288" w:lineRule="auto"/>
              <w:ind w:firstLine="37"/>
              <w:jc w:val="right"/>
              <w:rPr>
                <w:sz w:val="20"/>
                <w:szCs w:val="20"/>
              </w:rPr>
            </w:pPr>
            <w:r w:rsidRPr="0052192E">
              <w:rPr>
                <w:sz w:val="20"/>
                <w:szCs w:val="20"/>
              </w:rPr>
              <w:t>85,3</w:t>
            </w:r>
          </w:p>
        </w:tc>
      </w:tr>
    </w:tbl>
    <w:p w:rsidR="00220B3F" w:rsidRDefault="00220B3F" w:rsidP="00220B3F">
      <w:pPr>
        <w:spacing w:line="288" w:lineRule="auto"/>
        <w:ind w:firstLine="709"/>
      </w:pP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 xml:space="preserve">Снижение темпов роста </w:t>
      </w:r>
      <w:r w:rsidRPr="004F4D7E">
        <w:rPr>
          <w:b/>
          <w:sz w:val="24"/>
          <w:szCs w:val="24"/>
        </w:rPr>
        <w:t>промышленного производства</w:t>
      </w:r>
      <w:r w:rsidRPr="004F4D7E">
        <w:rPr>
          <w:sz w:val="24"/>
          <w:szCs w:val="24"/>
        </w:rPr>
        <w:t xml:space="preserve"> обусловлено низкими темпами роста по всем видам экономической деятельности. </w:t>
      </w:r>
      <w:r w:rsidR="000A6E64">
        <w:rPr>
          <w:sz w:val="24"/>
          <w:szCs w:val="24"/>
        </w:rPr>
        <w:t>В итоге</w:t>
      </w:r>
      <w:r w:rsidRPr="004F4D7E">
        <w:rPr>
          <w:sz w:val="24"/>
          <w:szCs w:val="24"/>
        </w:rPr>
        <w:t xml:space="preserve"> ИПП в 2016 году показывает минимальные значения за последние несколько лет, что может крайне негативно отразиться на результатах развития экономики по итогам года.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 xml:space="preserve">По состоянию на август 2016 года наблюдается сокращение темпов роста добычи полезных </w:t>
      </w:r>
      <w:r w:rsidRPr="004F4D7E">
        <w:rPr>
          <w:sz w:val="24"/>
          <w:szCs w:val="24"/>
        </w:rPr>
        <w:lastRenderedPageBreak/>
        <w:t>ископаемых. Так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по итогам 8 месяцев т.г. данный показатель составил 99,0 %, что на 0,6 п.п. больше показателя за аналогичный период 2015 года, но ниже итогового значения за 2015 год (99,4 %). Сокращение в добыче сырой нефти и </w:t>
      </w:r>
      <w:r>
        <w:rPr>
          <w:sz w:val="24"/>
          <w:szCs w:val="24"/>
        </w:rPr>
        <w:t>природного газа и предоставлении</w:t>
      </w:r>
      <w:r w:rsidRPr="004F4D7E">
        <w:rPr>
          <w:sz w:val="24"/>
          <w:szCs w:val="24"/>
        </w:rPr>
        <w:t xml:space="preserve"> услуг в этих областях наблюдается второй год. Темп роста по данному показателю составил 99,1 %, при темпе роста отгруженной продукции – 89,0 %.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Сохранение отрицательной динамики в обрабатывающих производствах может привести к спаду по итогам года, несмотря на принимаемые меры по «оживлению» данной сферы. Так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за 8 месяцев т.г. темпы роста в обрабатывающих производствах составили 99,1 %, что ниже темпов роста за аналогичный период прошлого года на 7,2 п.п.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Тем</w:t>
      </w:r>
      <w:r>
        <w:rPr>
          <w:sz w:val="24"/>
          <w:szCs w:val="24"/>
        </w:rPr>
        <w:t>п роста в данной сфере выше 100</w:t>
      </w:r>
      <w:r w:rsidRPr="004F4D7E">
        <w:rPr>
          <w:sz w:val="24"/>
          <w:szCs w:val="24"/>
        </w:rPr>
        <w:t>% отмечен только по таким направлениям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как «издательская и полиграфическая деятельность, тиражирование записанных носителей информации» - 105,4 %, «производство кокса и нефтепродуктов» - 109,1 %, «производство машин и оборудования» - 118,1 % и «металлургическое производство и производство готовых металлических изделий» - в 8,3 раза.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Большинство производств, имеющих наибольшую долю в объеме обрабатывающих производств, по итогам 8 месяцев не достигли уровня предыдущего года:</w:t>
      </w: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>- 96,5 % «производство пищевых продуктов, включая напитки и производство табака»;</w:t>
      </w: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>- 94,3 % «химическое производство»;</w:t>
      </w: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>- 81,9 % «производство электрооборудования, электронного и оптического оборудования».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Темп роста по виду «производство и распределение электроэнергии, газа и воды» за 8 месяцев т.г. составил 93,5 %, при темпе роста отгруженной продукции 110,1 %. Основной причиной данного сокращени</w:t>
      </w:r>
      <w:r>
        <w:rPr>
          <w:sz w:val="24"/>
          <w:szCs w:val="24"/>
        </w:rPr>
        <w:t>я</w:t>
      </w:r>
      <w:r w:rsidRPr="004F4D7E">
        <w:rPr>
          <w:sz w:val="24"/>
          <w:szCs w:val="24"/>
        </w:rPr>
        <w:t xml:space="preserve"> стало снижение объемов выработки электроэнергии </w:t>
      </w:r>
      <w:r>
        <w:rPr>
          <w:sz w:val="24"/>
          <w:szCs w:val="24"/>
        </w:rPr>
        <w:t>- 90,8</w:t>
      </w:r>
      <w:r w:rsidRPr="004F4D7E">
        <w:rPr>
          <w:sz w:val="24"/>
          <w:szCs w:val="24"/>
        </w:rPr>
        <w:t>% к аналогичному периоду прошлого года.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 xml:space="preserve">В </w:t>
      </w:r>
      <w:r w:rsidRPr="004F4D7E">
        <w:rPr>
          <w:b/>
          <w:sz w:val="24"/>
          <w:szCs w:val="24"/>
        </w:rPr>
        <w:t>сельском хозяйстве</w:t>
      </w:r>
      <w:r w:rsidRPr="004F4D7E">
        <w:rPr>
          <w:sz w:val="24"/>
          <w:szCs w:val="24"/>
        </w:rPr>
        <w:t xml:space="preserve"> за последние несколько лет наблюдается цикличность показателей темпов роста, проявляющаяся сменой периодов спада и роста. Объем производства сельскохозяйственной продукции в хозяйствах всех категорий (сельскохозяйственные организации, крестьянские (фермерские) хозяйства и индивидуальные предприниматели, хозяйства населения) в январе-августе 2016 года в действующих ценах, по предварительной оценке, составил 13 201,5 млн.руб., и в сопоставимой оценке сократился в сравнении с тем же периодом 2015 года на 2,5 %.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 xml:space="preserve">Анализ помесячной динамики в январе-августе 2016 года свидетельствует об устойчиво отрицательных темпах роста и перспективах завершения текущего года, даже </w:t>
      </w:r>
      <w:r w:rsidRPr="004F4D7E">
        <w:rPr>
          <w:sz w:val="24"/>
          <w:szCs w:val="24"/>
          <w:lang w:val="en-US"/>
        </w:rPr>
        <w:t>c</w:t>
      </w:r>
      <w:r w:rsidRPr="004F4D7E">
        <w:rPr>
          <w:sz w:val="24"/>
          <w:szCs w:val="24"/>
        </w:rPr>
        <w:t xml:space="preserve"> учетом успешного завершения уборочной кампании, не выше оцениваемого Администрацией уровня 94,4 %.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Строительная деятельность</w:t>
      </w:r>
      <w:r w:rsidRPr="004F4D7E">
        <w:rPr>
          <w:sz w:val="24"/>
          <w:szCs w:val="24"/>
        </w:rPr>
        <w:t>, по-прежнему, демонстрирует нестабильное развитие, характеризующееся периодами роста и спада, граничащими с депрессией. Так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по итогам 2015 года отмечен темп роста всего 86,6 %, а по итогам 8 месяцев т.г. – 111,8 %. 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Ввод в действие жилых домов, показывавший в 2011–2015 годах уверенный прирост, по итогам 8 месяцев т.г. демонстрирует рост всего 72,4 % (в аналогичном периоде прошлого года – 117 %)</w:t>
      </w:r>
      <w:r w:rsidR="000A6E64"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наибольший вклад в сокращение внесен  индивидуальным жилищным строительством – 69,2 % (в аналогичном периоде прошлого года – 145,2 %).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Таким образом, имеются все основания по итогам 2016 года рассчитывать на достижение в строительной деятельности темпов роста не ниже 100,0 %, что в большей степени может быть обусловлено влиянием низкой базы, а также изменением способа расчета объема работ с января 2016 года (в объем работ, выполненных собственными силами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по виду деятельности «строительство» включается стоимость работ, выполненных хозяйственным способом).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b/>
          <w:sz w:val="24"/>
          <w:szCs w:val="24"/>
        </w:rPr>
        <w:t>Инвестиционная активность</w:t>
      </w:r>
      <w:r w:rsidRPr="004F4D7E">
        <w:rPr>
          <w:sz w:val="24"/>
          <w:szCs w:val="24"/>
        </w:rPr>
        <w:t xml:space="preserve"> в Томской области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как и в России в целом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оценивается на 2016 год на достат</w:t>
      </w:r>
      <w:r>
        <w:rPr>
          <w:sz w:val="24"/>
          <w:szCs w:val="24"/>
        </w:rPr>
        <w:t>очно низком уровне, и в условиях</w:t>
      </w:r>
      <w:r w:rsidRPr="004F4D7E">
        <w:rPr>
          <w:sz w:val="24"/>
          <w:szCs w:val="24"/>
        </w:rPr>
        <w:t xml:space="preserve"> низк</w:t>
      </w:r>
      <w:r>
        <w:rPr>
          <w:sz w:val="24"/>
          <w:szCs w:val="24"/>
        </w:rPr>
        <w:t>их цен на углеводородное сырье,</w:t>
      </w:r>
      <w:r w:rsidRPr="004F4D7E">
        <w:rPr>
          <w:sz w:val="24"/>
          <w:szCs w:val="24"/>
        </w:rPr>
        <w:t xml:space="preserve"> недоступности дешевых кредитов (отсутствие свободного капитала) и замораживания инвестиционных планов дальнейшее сокращение темпов роста инвестиций (вплоть до 90,0%) в </w:t>
      </w:r>
      <w:r w:rsidRPr="004F4D7E">
        <w:rPr>
          <w:sz w:val="24"/>
          <w:szCs w:val="24"/>
        </w:rPr>
        <w:lastRenderedPageBreak/>
        <w:t>экономику области представляется более реальной перспективой, чем положительный рост.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 xml:space="preserve">В январе-июне 2016 года темп роста инвестиций в основной капитал составил всего 95,7 %, при этом наибольшая доля </w:t>
      </w:r>
      <w:r w:rsidR="00054A9C" w:rsidRPr="004F4D7E">
        <w:rPr>
          <w:sz w:val="24"/>
          <w:szCs w:val="24"/>
        </w:rPr>
        <w:t xml:space="preserve">традиционно </w:t>
      </w:r>
      <w:r w:rsidRPr="004F4D7E">
        <w:rPr>
          <w:sz w:val="24"/>
          <w:szCs w:val="24"/>
        </w:rPr>
        <w:t>пришлась</w:t>
      </w:r>
      <w:r w:rsidR="00054A9C">
        <w:rPr>
          <w:sz w:val="24"/>
          <w:szCs w:val="24"/>
        </w:rPr>
        <w:t xml:space="preserve"> </w:t>
      </w:r>
      <w:r w:rsidRPr="004F4D7E">
        <w:rPr>
          <w:sz w:val="24"/>
          <w:szCs w:val="24"/>
        </w:rPr>
        <w:t>на добычу полезных ископаемых – 55,8 %, обр</w:t>
      </w:r>
      <w:r>
        <w:rPr>
          <w:sz w:val="24"/>
          <w:szCs w:val="24"/>
        </w:rPr>
        <w:t>абатывающие производства – 16,3</w:t>
      </w:r>
      <w:r w:rsidRPr="004F4D7E">
        <w:rPr>
          <w:sz w:val="24"/>
          <w:szCs w:val="24"/>
        </w:rPr>
        <w:t>%, операции с недвижимым имуществом, аренда и предоставление услуг – 12,2 %.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В то</w:t>
      </w:r>
      <w:r>
        <w:rPr>
          <w:sz w:val="24"/>
          <w:szCs w:val="24"/>
        </w:rPr>
        <w:t xml:space="preserve"> </w:t>
      </w:r>
      <w:r w:rsidRPr="004F4D7E">
        <w:rPr>
          <w:sz w:val="24"/>
          <w:szCs w:val="24"/>
        </w:rPr>
        <w:t>же время прогноз инвестиций в конце 2016 года может выгляде</w:t>
      </w:r>
      <w:r>
        <w:rPr>
          <w:sz w:val="24"/>
          <w:szCs w:val="24"/>
        </w:rPr>
        <w:t>ть более оптимистично (около 92</w:t>
      </w:r>
      <w:r w:rsidRPr="004F4D7E">
        <w:rPr>
          <w:sz w:val="24"/>
          <w:szCs w:val="24"/>
        </w:rPr>
        <w:t>%), чему может способствовать низкая база и перераспределение накопленного капитала. В условиях инвестиционной нестабильности значительная роль в инвестиционной сфере может быть отведена бюджетной составляющей как источнику не только прямых, но и косвенных инвестиций.</w:t>
      </w:r>
    </w:p>
    <w:p w:rsidR="00220B3F" w:rsidRPr="004F4D7E" w:rsidRDefault="00220B3F" w:rsidP="00220B3F">
      <w:pPr>
        <w:rPr>
          <w:sz w:val="24"/>
          <w:szCs w:val="24"/>
        </w:rPr>
      </w:pP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ab/>
        <w:t xml:space="preserve">Отрицательная динамика в 2016 году наблюдается в </w:t>
      </w:r>
      <w:r w:rsidRPr="004F4D7E">
        <w:rPr>
          <w:b/>
          <w:sz w:val="24"/>
          <w:szCs w:val="24"/>
        </w:rPr>
        <w:t>розничной торговле</w:t>
      </w:r>
      <w:r w:rsidRPr="004F4D7E">
        <w:rPr>
          <w:sz w:val="24"/>
          <w:szCs w:val="24"/>
        </w:rPr>
        <w:t>. Начиная с 2014 года по данному виду деятельности наблюдается сокращение оборота, что по оценке может привести к общему сокращению по итогам года до 97 %</w:t>
      </w:r>
      <w:r w:rsidR="00054A9C">
        <w:rPr>
          <w:sz w:val="24"/>
          <w:szCs w:val="24"/>
        </w:rPr>
        <w:t xml:space="preserve">, </w:t>
      </w:r>
      <w:r w:rsidRPr="004F4D7E">
        <w:rPr>
          <w:sz w:val="24"/>
          <w:szCs w:val="24"/>
        </w:rPr>
        <w:t xml:space="preserve"> и только благодаря эффекту низкой базы данный провал не будет более ощутимым.</w:t>
      </w: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ab/>
        <w:t xml:space="preserve">Некоторое оживление в 2016 году демонстрирует </w:t>
      </w:r>
      <w:r w:rsidRPr="004F4D7E">
        <w:rPr>
          <w:b/>
          <w:sz w:val="24"/>
          <w:szCs w:val="24"/>
        </w:rPr>
        <w:t>оптовая торговля</w:t>
      </w:r>
      <w:r w:rsidRPr="004F4D7E">
        <w:rPr>
          <w:sz w:val="24"/>
          <w:szCs w:val="24"/>
        </w:rPr>
        <w:t>. Так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по итогам 1 квартала т.г. темп роста оптовой торговли составил 99,8 %, по итогам полугодия – 105,4 %, а по итогам 8 месяцев – 107,5 %, на что, однако, большое влияние оказала низкая база (по итогам 8 месяцев 2015 года темп роста составил 78,5 %).</w:t>
      </w:r>
    </w:p>
    <w:p w:rsidR="00220B3F" w:rsidRPr="004F4D7E" w:rsidRDefault="00220B3F" w:rsidP="00220B3F">
      <w:pPr>
        <w:rPr>
          <w:sz w:val="24"/>
          <w:szCs w:val="24"/>
        </w:rPr>
      </w:pP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ab/>
        <w:t xml:space="preserve">Значительный скачок </w:t>
      </w:r>
      <w:r w:rsidRPr="004F4D7E">
        <w:rPr>
          <w:b/>
          <w:sz w:val="24"/>
          <w:szCs w:val="24"/>
        </w:rPr>
        <w:t>инфляции</w:t>
      </w:r>
      <w:r w:rsidRPr="004F4D7E">
        <w:rPr>
          <w:sz w:val="24"/>
          <w:szCs w:val="24"/>
        </w:rPr>
        <w:t>, имевшей место в 2014 году (декабрь к декабрю – 110,7 %) и в 2015 году - 112,4 %, получил заметное ослабление в 2016 году, что обусловлено (как отмечено в материалах к законопроекту) снижением реальных доходов населения, высокими процентными ставками, стабилизацией курса национальной валюты, а также эффектом высокой базы.</w:t>
      </w: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ab/>
        <w:t xml:space="preserve">По итогам 8 месяцев т.г. ИПЦ составил 107,6 % при уровне инфляции за аналогичный период прошлого года – 114,8 %. </w:t>
      </w:r>
    </w:p>
    <w:p w:rsidR="00220B3F" w:rsidRPr="004F4D7E" w:rsidRDefault="00220B3F" w:rsidP="00220B3F">
      <w:pPr>
        <w:rPr>
          <w:sz w:val="24"/>
          <w:szCs w:val="24"/>
        </w:rPr>
      </w:pPr>
      <w:r w:rsidRPr="004F4D7E">
        <w:rPr>
          <w:sz w:val="24"/>
          <w:szCs w:val="24"/>
        </w:rPr>
        <w:tab/>
        <w:t>В структуре ИПЦ инфляция на продовольственные товары составила 107,6 %, на непродовольственные – 108,3 % и на платные услуги – 106,3 %.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Учитывая динамику ИПЦ в 2016 году по итогам года среднегодовой уровень инфляции может составить не менее 107 %.</w:t>
      </w:r>
      <w:r w:rsidRPr="00C63DBF">
        <w:rPr>
          <w:sz w:val="24"/>
          <w:szCs w:val="24"/>
        </w:rPr>
        <w:t xml:space="preserve"> </w:t>
      </w:r>
      <w:r w:rsidRPr="004F4D7E">
        <w:rPr>
          <w:sz w:val="24"/>
          <w:szCs w:val="24"/>
        </w:rPr>
        <w:t>Прогнозируемый Администрацией на 2017-2019 годы уровень инфляции практически совпадает с прогнозом Минэкономразвития РФ в целом по России (диаграмма 2).</w:t>
      </w:r>
    </w:p>
    <w:p w:rsidR="00220B3F" w:rsidRDefault="00220B3F" w:rsidP="00220B3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4F4D7E">
        <w:rPr>
          <w:sz w:val="24"/>
          <w:szCs w:val="24"/>
        </w:rPr>
        <w:t>иаграмма 2</w:t>
      </w:r>
    </w:p>
    <w:p w:rsidR="00220B3F" w:rsidRPr="004F4D7E" w:rsidRDefault="00220B3F" w:rsidP="00220B3F">
      <w:pPr>
        <w:ind w:firstLine="709"/>
        <w:jc w:val="right"/>
        <w:rPr>
          <w:sz w:val="24"/>
          <w:szCs w:val="24"/>
        </w:rPr>
      </w:pPr>
    </w:p>
    <w:p w:rsidR="00220B3F" w:rsidRDefault="00220B3F" w:rsidP="00220B3F">
      <w:pPr>
        <w:spacing w:line="288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906770" cy="2858770"/>
            <wp:effectExtent l="0" t="0" r="17780" b="1778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0B3F" w:rsidRDefault="00220B3F" w:rsidP="00220B3F">
      <w:pPr>
        <w:spacing w:line="288" w:lineRule="auto"/>
        <w:ind w:firstLine="709"/>
        <w:jc w:val="right"/>
      </w:pPr>
    </w:p>
    <w:p w:rsidR="00220B3F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lastRenderedPageBreak/>
        <w:t>В качестве механизмов по сдерживанию инфляции на федеральном уровне предложены проведение умеренно-жесткой денежной и бюджетной политики, укрепление рубля и сдержанный рост регулируемых тарифов в инфраструктурном секторе, особенно на коммунальные услуги.</w:t>
      </w:r>
      <w:r>
        <w:rPr>
          <w:sz w:val="24"/>
          <w:szCs w:val="24"/>
        </w:rPr>
        <w:t xml:space="preserve"> </w:t>
      </w:r>
      <w:r w:rsidRPr="004F4D7E">
        <w:rPr>
          <w:sz w:val="24"/>
          <w:szCs w:val="24"/>
        </w:rPr>
        <w:t>На региональном уровне в данном на</w:t>
      </w:r>
      <w:r>
        <w:rPr>
          <w:sz w:val="24"/>
          <w:szCs w:val="24"/>
        </w:rPr>
        <w:t>правлении принимаются такие меры,</w:t>
      </w:r>
      <w:r w:rsidRPr="004F4D7E">
        <w:rPr>
          <w:sz w:val="24"/>
          <w:szCs w:val="24"/>
        </w:rPr>
        <w:t xml:space="preserve"> как сдерживание роста регулируемых тарифов в инфраструктурном секторе, особенно на коммунальные услуги, импортозамещение отечественными продуктами, развитие производства и предложения потребительских товаров.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Денежные доходы населения в реальном выражении (с учетом ИПЦ) в 2016 году составили 94,8 % к январю-августу 2015 года, денежные расходы в реальном выражении – 93,8 %. Потребительские расходы в расчете на душу населения составили 14 968,4 рублей и увеличились по сравнению с январем-августом 2015 года на 5,0 %.</w:t>
      </w:r>
      <w:r>
        <w:rPr>
          <w:sz w:val="24"/>
          <w:szCs w:val="24"/>
        </w:rPr>
        <w:t xml:space="preserve"> </w:t>
      </w:r>
      <w:r w:rsidRPr="004F4D7E">
        <w:rPr>
          <w:sz w:val="24"/>
          <w:szCs w:val="24"/>
        </w:rPr>
        <w:t xml:space="preserve">В структуре использования денежных доходов населения наибольшую долю занимает </w:t>
      </w:r>
      <w:r>
        <w:rPr>
          <w:sz w:val="24"/>
          <w:szCs w:val="24"/>
        </w:rPr>
        <w:t xml:space="preserve">покупка товаров и оплата услуг </w:t>
      </w:r>
      <w:r w:rsidRPr="004F4D7E">
        <w:rPr>
          <w:sz w:val="24"/>
          <w:szCs w:val="24"/>
        </w:rPr>
        <w:t>- 65,2 %, оплата обязательных платежей и взносов – 11,1 % и накопление и сбережение во вкладах и ценных бумагах, изменение задолженности по кредитам, приобретение не</w:t>
      </w:r>
      <w:r>
        <w:rPr>
          <w:sz w:val="24"/>
          <w:szCs w:val="24"/>
        </w:rPr>
        <w:t>движимости</w:t>
      </w:r>
      <w:r w:rsidRPr="004F4D7E">
        <w:rPr>
          <w:sz w:val="24"/>
          <w:szCs w:val="24"/>
        </w:rPr>
        <w:t xml:space="preserve"> – 11,4 %.</w:t>
      </w:r>
    </w:p>
    <w:p w:rsidR="00220B3F" w:rsidRPr="004F4D7E" w:rsidRDefault="00220B3F" w:rsidP="00220B3F">
      <w:pPr>
        <w:ind w:firstLine="709"/>
        <w:rPr>
          <w:sz w:val="24"/>
          <w:szCs w:val="24"/>
        </w:rPr>
      </w:pPr>
      <w:r w:rsidRPr="004F4D7E">
        <w:rPr>
          <w:sz w:val="24"/>
          <w:szCs w:val="24"/>
        </w:rPr>
        <w:t>На фоне регионов Сибирского федерального округа (СФО) Томская область по итогам января-августа т.г. занимает одну из низких позиций по таким показателям</w:t>
      </w:r>
      <w:r>
        <w:rPr>
          <w:sz w:val="24"/>
          <w:szCs w:val="24"/>
        </w:rPr>
        <w:t>,</w:t>
      </w:r>
      <w:r w:rsidRPr="004F4D7E">
        <w:rPr>
          <w:sz w:val="24"/>
          <w:szCs w:val="24"/>
        </w:rPr>
        <w:t xml:space="preserve"> как индекс промышленного производства (98,7 %), наряду с такими субъектами, как Красноярский край (96,3 %), Республика Бурятия (93,5 %) и Омская область (93,5 %), при средней величине данного индекса по СФО - 100,2 %. Ввод в действие жилых домов (72,4 %) при средней величине – 85,6 %, наряду с такими субъектами как Республика Бурятия (69,9 %), Республика Тыва (63,1 %) и Забайкальский край (46,3 %). Индекс потребительских цен оказался одним из самых высоких (107,6 %) вместе с Алтайским краем (107,6 %), Забайкальским краем (107,8 %), Иркутской областью (109,3 %) и Кемеровской областью (107,6 %) (таблица </w:t>
      </w:r>
      <w:r>
        <w:rPr>
          <w:sz w:val="24"/>
          <w:szCs w:val="24"/>
        </w:rPr>
        <w:t>3</w:t>
      </w:r>
      <w:r w:rsidRPr="004F4D7E">
        <w:rPr>
          <w:sz w:val="24"/>
          <w:szCs w:val="24"/>
        </w:rPr>
        <w:t>).</w:t>
      </w:r>
    </w:p>
    <w:p w:rsidR="00220B3F" w:rsidRPr="004F4D7E" w:rsidRDefault="00220B3F" w:rsidP="00220B3F">
      <w:pPr>
        <w:ind w:firstLine="709"/>
        <w:jc w:val="right"/>
        <w:rPr>
          <w:sz w:val="24"/>
          <w:szCs w:val="24"/>
        </w:rPr>
      </w:pPr>
      <w:r w:rsidRPr="004F4D7E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т</w:t>
      </w:r>
      <w:r w:rsidRPr="004F4D7E">
        <w:rPr>
          <w:sz w:val="24"/>
          <w:szCs w:val="24"/>
        </w:rPr>
        <w:t xml:space="preserve">аблица </w:t>
      </w:r>
      <w:r>
        <w:rPr>
          <w:sz w:val="24"/>
          <w:szCs w:val="24"/>
        </w:rPr>
        <w:t>3</w:t>
      </w:r>
    </w:p>
    <w:p w:rsidR="00220B3F" w:rsidRPr="006320A4" w:rsidRDefault="00220B3F" w:rsidP="00220B3F">
      <w:pPr>
        <w:spacing w:line="288" w:lineRule="auto"/>
        <w:jc w:val="center"/>
        <w:rPr>
          <w:sz w:val="24"/>
          <w:szCs w:val="24"/>
        </w:rPr>
      </w:pPr>
      <w:r w:rsidRPr="006320A4">
        <w:rPr>
          <w:b/>
          <w:sz w:val="24"/>
          <w:szCs w:val="24"/>
        </w:rPr>
        <w:t>Индексы физического объема экономических показателей регионов СФО за январь-август 2016 года по данным Томскстата</w:t>
      </w:r>
      <w:r w:rsidRPr="006320A4">
        <w:rPr>
          <w:sz w:val="24"/>
          <w:szCs w:val="24"/>
        </w:rPr>
        <w:t xml:space="preserve"> </w:t>
      </w:r>
    </w:p>
    <w:p w:rsidR="00220B3F" w:rsidRPr="001E652A" w:rsidRDefault="00220B3F" w:rsidP="00220B3F">
      <w:pPr>
        <w:spacing w:line="288" w:lineRule="auto"/>
        <w:jc w:val="center"/>
        <w:rPr>
          <w:sz w:val="20"/>
          <w:szCs w:val="20"/>
        </w:rPr>
      </w:pPr>
      <w:r w:rsidRPr="001E652A">
        <w:rPr>
          <w:sz w:val="20"/>
          <w:szCs w:val="20"/>
        </w:rPr>
        <w:t>(в % к соответствующему периоду предыдущего года)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44"/>
        <w:gridCol w:w="757"/>
        <w:gridCol w:w="1134"/>
        <w:gridCol w:w="989"/>
        <w:gridCol w:w="995"/>
        <w:gridCol w:w="851"/>
        <w:gridCol w:w="854"/>
        <w:gridCol w:w="720"/>
        <w:gridCol w:w="720"/>
      </w:tblGrid>
      <w:tr w:rsidR="00220B3F" w:rsidRPr="001E652A" w:rsidTr="00220B3F">
        <w:trPr>
          <w:trHeight w:val="43"/>
          <w:jc w:val="center"/>
        </w:trPr>
        <w:tc>
          <w:tcPr>
            <w:tcW w:w="1985" w:type="dxa"/>
            <w:vMerge w:val="restart"/>
            <w:vAlign w:val="center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Регионы</w:t>
            </w:r>
          </w:p>
        </w:tc>
        <w:tc>
          <w:tcPr>
            <w:tcW w:w="944" w:type="dxa"/>
            <w:vMerge w:val="restart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 xml:space="preserve">Индекс </w:t>
            </w:r>
            <w:r w:rsidRPr="006320A4">
              <w:rPr>
                <w:w w:val="99"/>
                <w:sz w:val="20"/>
                <w:szCs w:val="20"/>
              </w:rPr>
              <w:t>пром.</w:t>
            </w:r>
            <w:r w:rsidRPr="006320A4">
              <w:rPr>
                <w:w w:val="98"/>
                <w:sz w:val="20"/>
                <w:szCs w:val="20"/>
              </w:rPr>
              <w:t xml:space="preserve"> </w:t>
            </w:r>
            <w:r w:rsidRPr="006320A4">
              <w:rPr>
                <w:sz w:val="20"/>
                <w:szCs w:val="20"/>
              </w:rPr>
              <w:t>произ-</w:t>
            </w:r>
            <w:r w:rsidRPr="006320A4">
              <w:rPr>
                <w:w w:val="99"/>
                <w:sz w:val="20"/>
                <w:szCs w:val="20"/>
              </w:rPr>
              <w:t>ва</w:t>
            </w:r>
          </w:p>
        </w:tc>
        <w:tc>
          <w:tcPr>
            <w:tcW w:w="2880" w:type="dxa"/>
            <w:gridSpan w:val="3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в том числе:</w:t>
            </w:r>
          </w:p>
        </w:tc>
        <w:tc>
          <w:tcPr>
            <w:tcW w:w="995" w:type="dxa"/>
            <w:vMerge w:val="restart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 xml:space="preserve">Оборот </w:t>
            </w:r>
            <w:r w:rsidRPr="006320A4">
              <w:rPr>
                <w:w w:val="99"/>
                <w:sz w:val="20"/>
                <w:szCs w:val="20"/>
              </w:rPr>
              <w:t>розничн</w:t>
            </w:r>
            <w:r w:rsidRPr="006320A4">
              <w:rPr>
                <w:w w:val="98"/>
                <w:sz w:val="20"/>
                <w:szCs w:val="20"/>
              </w:rPr>
              <w:t xml:space="preserve">ой </w:t>
            </w:r>
            <w:r w:rsidRPr="006320A4">
              <w:rPr>
                <w:sz w:val="20"/>
                <w:szCs w:val="20"/>
              </w:rPr>
              <w:t>торгов</w:t>
            </w:r>
            <w:r w:rsidRPr="006320A4">
              <w:rPr>
                <w:w w:val="96"/>
                <w:sz w:val="20"/>
                <w:szCs w:val="20"/>
              </w:rPr>
              <w:t>ли</w:t>
            </w:r>
          </w:p>
        </w:tc>
        <w:tc>
          <w:tcPr>
            <w:tcW w:w="851" w:type="dxa"/>
            <w:vMerge w:val="restart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w w:val="99"/>
                <w:sz w:val="20"/>
                <w:szCs w:val="20"/>
              </w:rPr>
              <w:t xml:space="preserve">Объем </w:t>
            </w:r>
            <w:r w:rsidRPr="006320A4">
              <w:rPr>
                <w:sz w:val="20"/>
                <w:szCs w:val="20"/>
              </w:rPr>
              <w:t>платных услуг населе</w:t>
            </w:r>
            <w:r w:rsidRPr="006320A4">
              <w:rPr>
                <w:w w:val="99"/>
                <w:sz w:val="20"/>
                <w:szCs w:val="20"/>
              </w:rPr>
              <w:t>нию</w:t>
            </w:r>
          </w:p>
        </w:tc>
        <w:tc>
          <w:tcPr>
            <w:tcW w:w="854" w:type="dxa"/>
            <w:vMerge w:val="restart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 xml:space="preserve">Ввод в </w:t>
            </w:r>
            <w:r w:rsidRPr="006320A4">
              <w:rPr>
                <w:w w:val="99"/>
                <w:sz w:val="20"/>
                <w:szCs w:val="20"/>
              </w:rPr>
              <w:t xml:space="preserve">действие </w:t>
            </w:r>
            <w:r w:rsidRPr="006320A4">
              <w:rPr>
                <w:sz w:val="20"/>
                <w:szCs w:val="20"/>
              </w:rPr>
              <w:t>жилых домов</w:t>
            </w:r>
          </w:p>
        </w:tc>
        <w:tc>
          <w:tcPr>
            <w:tcW w:w="720" w:type="dxa"/>
            <w:vMerge w:val="restart"/>
          </w:tcPr>
          <w:p w:rsidR="00220B3F" w:rsidRPr="006320A4" w:rsidRDefault="00220B3F" w:rsidP="00220B3F">
            <w:pPr>
              <w:spacing w:line="288" w:lineRule="auto"/>
              <w:ind w:firstLine="3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Строительст</w:t>
            </w:r>
            <w:r w:rsidRPr="006320A4">
              <w:rPr>
                <w:w w:val="98"/>
                <w:sz w:val="20"/>
                <w:szCs w:val="20"/>
              </w:rPr>
              <w:t>во</w:t>
            </w:r>
          </w:p>
        </w:tc>
        <w:tc>
          <w:tcPr>
            <w:tcW w:w="720" w:type="dxa"/>
            <w:vMerge w:val="restart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ИПЦ</w:t>
            </w:r>
          </w:p>
        </w:tc>
      </w:tr>
      <w:tr w:rsidR="00220B3F" w:rsidRPr="00072752" w:rsidTr="00220B3F">
        <w:trPr>
          <w:trHeight w:val="529"/>
          <w:jc w:val="center"/>
        </w:trPr>
        <w:tc>
          <w:tcPr>
            <w:tcW w:w="1985" w:type="dxa"/>
            <w:vMerge/>
            <w:vAlign w:val="bottom"/>
          </w:tcPr>
          <w:p w:rsidR="00220B3F" w:rsidRPr="006320A4" w:rsidRDefault="00220B3F" w:rsidP="00220B3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w w:val="99"/>
                <w:sz w:val="20"/>
                <w:szCs w:val="20"/>
              </w:rPr>
              <w:t>добыча полезных иско</w:t>
            </w:r>
            <w:r w:rsidRPr="006320A4">
              <w:rPr>
                <w:sz w:val="20"/>
                <w:szCs w:val="20"/>
              </w:rPr>
              <w:t>паемых</w:t>
            </w:r>
          </w:p>
        </w:tc>
        <w:tc>
          <w:tcPr>
            <w:tcW w:w="1134" w:type="dxa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 xml:space="preserve">обрабатывающие </w:t>
            </w:r>
            <w:r w:rsidRPr="006320A4">
              <w:rPr>
                <w:w w:val="99"/>
                <w:sz w:val="20"/>
                <w:szCs w:val="20"/>
              </w:rPr>
              <w:t>производ</w:t>
            </w:r>
            <w:r w:rsidRPr="006320A4">
              <w:rPr>
                <w:sz w:val="20"/>
                <w:szCs w:val="20"/>
              </w:rPr>
              <w:t>ства</w:t>
            </w:r>
          </w:p>
        </w:tc>
        <w:tc>
          <w:tcPr>
            <w:tcW w:w="989" w:type="dxa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w w:val="99"/>
                <w:sz w:val="20"/>
                <w:szCs w:val="20"/>
              </w:rPr>
              <w:t>произ-</w:t>
            </w:r>
            <w:r w:rsidRPr="006320A4">
              <w:rPr>
                <w:sz w:val="20"/>
                <w:szCs w:val="20"/>
              </w:rPr>
              <w:t>во и распред-е эл/</w:t>
            </w:r>
            <w:r>
              <w:rPr>
                <w:w w:val="99"/>
                <w:sz w:val="20"/>
                <w:szCs w:val="20"/>
              </w:rPr>
              <w:t>энер-гии,</w:t>
            </w:r>
            <w:r w:rsidRPr="006320A4">
              <w:rPr>
                <w:w w:val="99"/>
                <w:sz w:val="20"/>
                <w:szCs w:val="20"/>
              </w:rPr>
              <w:t xml:space="preserve"> </w:t>
            </w:r>
            <w:r w:rsidRPr="006320A4">
              <w:rPr>
                <w:w w:val="98"/>
                <w:sz w:val="20"/>
                <w:szCs w:val="20"/>
              </w:rPr>
              <w:t>газа и воды</w:t>
            </w:r>
          </w:p>
        </w:tc>
        <w:tc>
          <w:tcPr>
            <w:tcW w:w="995" w:type="dxa"/>
            <w:vMerge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220B3F" w:rsidRPr="00072752" w:rsidTr="00220B3F">
        <w:trPr>
          <w:trHeight w:val="86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СФО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100,2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104,4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96,7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103,4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93,3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85,6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140,2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69,0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90,6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170,9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103,1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86,8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106,3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89,6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104,6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97,4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69,9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83,7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106,7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106,3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110,7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105,4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100,6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95,4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63,1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73,2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106,7</w:t>
            </w:r>
          </w:p>
        </w:tc>
      </w:tr>
      <w:tr w:rsidR="00220B3F" w:rsidRPr="00072752" w:rsidTr="00220B3F">
        <w:trPr>
          <w:trHeight w:val="69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107,5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105,3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94,0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124,9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95,3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96,5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77,5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101,3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106,3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101,0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91,6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100,8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105,3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93,6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96,3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74,4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91,6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107,6</w:t>
            </w:r>
          </w:p>
        </w:tc>
      </w:tr>
      <w:tr w:rsidR="00220B3F" w:rsidRPr="00072752" w:rsidTr="00220B3F">
        <w:trPr>
          <w:trHeight w:val="62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103,6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93,4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98,5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95,2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92,6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132,6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107,8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96,3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98,2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94,0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102,8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96,8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96,2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103,2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108,8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106,3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106,5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112,4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103,0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100,0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93,4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95,5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83,8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102,5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109,3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108,1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112,6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99,8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101,7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91,2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99,8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119,7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86,3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107,6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4" w:firstLine="0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100,3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99,7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103,1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94,4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99,3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74,0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76,2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106,8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92,8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101,5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83,1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320A4">
              <w:rPr>
                <w:b/>
                <w:sz w:val="20"/>
                <w:szCs w:val="20"/>
              </w:rPr>
              <w:t>97,4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103,4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90,3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 w:rsidRPr="006320A4">
              <w:rPr>
                <w:sz w:val="20"/>
                <w:szCs w:val="20"/>
              </w:rPr>
              <w:t>106,6</w:t>
            </w:r>
          </w:p>
        </w:tc>
      </w:tr>
      <w:tr w:rsidR="00220B3F" w:rsidRPr="00072752" w:rsidTr="00220B3F">
        <w:trPr>
          <w:trHeight w:val="43"/>
          <w:jc w:val="center"/>
        </w:trPr>
        <w:tc>
          <w:tcPr>
            <w:tcW w:w="1985" w:type="dxa"/>
            <w:vAlign w:val="bottom"/>
          </w:tcPr>
          <w:p w:rsidR="00220B3F" w:rsidRPr="006320A4" w:rsidRDefault="00220B3F" w:rsidP="00220B3F">
            <w:pPr>
              <w:spacing w:line="288" w:lineRule="auto"/>
              <w:ind w:left="120" w:hanging="68"/>
              <w:rPr>
                <w:b/>
                <w:sz w:val="20"/>
                <w:szCs w:val="20"/>
              </w:rPr>
            </w:pPr>
            <w:r w:rsidRPr="006320A4">
              <w:rPr>
                <w:b/>
                <w:iCs/>
                <w:sz w:val="20"/>
                <w:szCs w:val="20"/>
              </w:rPr>
              <w:t>Томская область</w:t>
            </w:r>
          </w:p>
        </w:tc>
        <w:tc>
          <w:tcPr>
            <w:tcW w:w="94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i/>
                <w:sz w:val="20"/>
                <w:szCs w:val="20"/>
              </w:rPr>
            </w:pPr>
            <w:r w:rsidRPr="006320A4">
              <w:rPr>
                <w:b/>
                <w:i/>
                <w:sz w:val="20"/>
                <w:szCs w:val="20"/>
              </w:rPr>
              <w:t>98,7</w:t>
            </w:r>
          </w:p>
        </w:tc>
        <w:tc>
          <w:tcPr>
            <w:tcW w:w="757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6320A4">
              <w:rPr>
                <w:i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i/>
                <w:sz w:val="20"/>
                <w:szCs w:val="20"/>
              </w:rPr>
            </w:pPr>
            <w:r w:rsidRPr="006320A4">
              <w:rPr>
                <w:i/>
                <w:sz w:val="20"/>
                <w:szCs w:val="20"/>
              </w:rPr>
              <w:t>99,1</w:t>
            </w:r>
          </w:p>
        </w:tc>
        <w:tc>
          <w:tcPr>
            <w:tcW w:w="989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i/>
                <w:sz w:val="20"/>
                <w:szCs w:val="20"/>
              </w:rPr>
            </w:pPr>
            <w:r w:rsidRPr="006320A4">
              <w:rPr>
                <w:i/>
                <w:sz w:val="20"/>
                <w:szCs w:val="20"/>
              </w:rPr>
              <w:t>93,5</w:t>
            </w:r>
          </w:p>
        </w:tc>
        <w:tc>
          <w:tcPr>
            <w:tcW w:w="995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i/>
                <w:sz w:val="20"/>
                <w:szCs w:val="20"/>
              </w:rPr>
            </w:pPr>
            <w:r w:rsidRPr="006320A4">
              <w:rPr>
                <w:b/>
                <w:i/>
                <w:sz w:val="20"/>
                <w:szCs w:val="20"/>
              </w:rPr>
              <w:t>97,9</w:t>
            </w:r>
          </w:p>
        </w:tc>
        <w:tc>
          <w:tcPr>
            <w:tcW w:w="851" w:type="dxa"/>
            <w:vAlign w:val="bottom"/>
          </w:tcPr>
          <w:p w:rsidR="00220B3F" w:rsidRPr="006320A4" w:rsidRDefault="00220B3F" w:rsidP="00220B3F">
            <w:pPr>
              <w:spacing w:line="288" w:lineRule="auto"/>
              <w:jc w:val="center"/>
              <w:rPr>
                <w:b/>
                <w:i/>
                <w:sz w:val="20"/>
                <w:szCs w:val="20"/>
              </w:rPr>
            </w:pPr>
            <w:r w:rsidRPr="006320A4">
              <w:rPr>
                <w:b/>
                <w:i/>
                <w:sz w:val="20"/>
                <w:szCs w:val="20"/>
              </w:rPr>
              <w:t>97,3</w:t>
            </w:r>
          </w:p>
        </w:tc>
        <w:tc>
          <w:tcPr>
            <w:tcW w:w="854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320A4">
              <w:rPr>
                <w:b/>
                <w:i/>
                <w:sz w:val="20"/>
                <w:szCs w:val="20"/>
              </w:rPr>
              <w:t>72,4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320A4">
              <w:rPr>
                <w:b/>
                <w:i/>
                <w:sz w:val="20"/>
                <w:szCs w:val="20"/>
              </w:rPr>
              <w:t>111,8</w:t>
            </w:r>
          </w:p>
        </w:tc>
        <w:tc>
          <w:tcPr>
            <w:tcW w:w="720" w:type="dxa"/>
            <w:vAlign w:val="bottom"/>
          </w:tcPr>
          <w:p w:rsidR="00220B3F" w:rsidRPr="006320A4" w:rsidRDefault="00220B3F" w:rsidP="00220B3F">
            <w:pPr>
              <w:spacing w:line="288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320A4">
              <w:rPr>
                <w:b/>
                <w:i/>
                <w:sz w:val="20"/>
                <w:szCs w:val="20"/>
              </w:rPr>
              <w:t>107,6</w:t>
            </w:r>
          </w:p>
        </w:tc>
      </w:tr>
    </w:tbl>
    <w:p w:rsidR="00220B3F" w:rsidRDefault="00220B3F" w:rsidP="00220B3F">
      <w:pPr>
        <w:tabs>
          <w:tab w:val="left" w:pos="0"/>
        </w:tabs>
        <w:spacing w:line="288" w:lineRule="auto"/>
      </w:pPr>
      <w:r>
        <w:tab/>
      </w:r>
    </w:p>
    <w:p w:rsidR="00220B3F" w:rsidRPr="004F4D7E" w:rsidRDefault="00220B3F" w:rsidP="00220B3F">
      <w:pPr>
        <w:tabs>
          <w:tab w:val="left" w:pos="0"/>
        </w:tabs>
        <w:rPr>
          <w:sz w:val="24"/>
          <w:szCs w:val="24"/>
        </w:rPr>
      </w:pPr>
      <w:r>
        <w:tab/>
      </w:r>
      <w:r w:rsidRPr="004F4D7E">
        <w:rPr>
          <w:sz w:val="24"/>
          <w:szCs w:val="24"/>
        </w:rPr>
        <w:t>По обороту розничной торговли и объем</w:t>
      </w:r>
      <w:r>
        <w:rPr>
          <w:sz w:val="24"/>
          <w:szCs w:val="24"/>
        </w:rPr>
        <w:t>у</w:t>
      </w:r>
      <w:r w:rsidRPr="004F4D7E">
        <w:rPr>
          <w:sz w:val="24"/>
          <w:szCs w:val="24"/>
        </w:rPr>
        <w:t xml:space="preserve"> подрядных работ по виду деятельности «строительство» Томская область занимает лидирующие позиции с темпами роста 97,9 % (в </w:t>
      </w:r>
      <w:r w:rsidRPr="004F4D7E">
        <w:rPr>
          <w:sz w:val="24"/>
          <w:szCs w:val="24"/>
        </w:rPr>
        <w:lastRenderedPageBreak/>
        <w:t>среднем по СФО – 93,3 %) и 111,8 % (в среднем по СФО – 98,2 %) соответственно.</w:t>
      </w:r>
    </w:p>
    <w:p w:rsidR="00220B3F" w:rsidRPr="004F4D7E" w:rsidRDefault="00220B3F" w:rsidP="00220B3F">
      <w:pPr>
        <w:ind w:firstLine="709"/>
        <w:rPr>
          <w:b/>
          <w:sz w:val="24"/>
          <w:szCs w:val="24"/>
        </w:rPr>
      </w:pPr>
    </w:p>
    <w:p w:rsidR="00220B3F" w:rsidRPr="004F4D7E" w:rsidRDefault="00220B3F" w:rsidP="00220B3F">
      <w:pPr>
        <w:ind w:firstLine="709"/>
        <w:rPr>
          <w:b/>
          <w:sz w:val="24"/>
          <w:szCs w:val="24"/>
        </w:rPr>
      </w:pPr>
      <w:r w:rsidRPr="004F4D7E">
        <w:rPr>
          <w:b/>
          <w:sz w:val="24"/>
          <w:szCs w:val="24"/>
        </w:rPr>
        <w:t xml:space="preserve">В целом, с учетом замедления общего развития экономики, а по отдельным видам деятельности и значительного спада, и при отсутствии положительных сдвигов в добыче полезных ископаемых и обрабатывающих производствах в 4 квартале, по итогам года не стоит </w:t>
      </w:r>
      <w:r>
        <w:rPr>
          <w:b/>
          <w:sz w:val="24"/>
          <w:szCs w:val="24"/>
        </w:rPr>
        <w:t>о</w:t>
      </w:r>
      <w:r w:rsidRPr="004F4D7E">
        <w:rPr>
          <w:b/>
          <w:sz w:val="24"/>
          <w:szCs w:val="24"/>
        </w:rPr>
        <w:t>ж</w:t>
      </w:r>
      <w:r>
        <w:rPr>
          <w:b/>
          <w:sz w:val="24"/>
          <w:szCs w:val="24"/>
        </w:rPr>
        <w:t>и</w:t>
      </w:r>
      <w:r w:rsidRPr="004F4D7E">
        <w:rPr>
          <w:b/>
          <w:sz w:val="24"/>
          <w:szCs w:val="24"/>
        </w:rPr>
        <w:t xml:space="preserve">дать </w:t>
      </w:r>
      <w:r>
        <w:rPr>
          <w:b/>
          <w:sz w:val="24"/>
          <w:szCs w:val="24"/>
        </w:rPr>
        <w:t xml:space="preserve">существенного </w:t>
      </w:r>
      <w:r w:rsidRPr="004F4D7E">
        <w:rPr>
          <w:b/>
          <w:sz w:val="24"/>
          <w:szCs w:val="24"/>
        </w:rPr>
        <w:t>роста экономических показателей.</w:t>
      </w:r>
    </w:p>
    <w:p w:rsidR="00220B3F" w:rsidRPr="004F4D7E" w:rsidRDefault="00220B3F" w:rsidP="00220B3F">
      <w:pPr>
        <w:ind w:firstLine="709"/>
        <w:rPr>
          <w:b/>
          <w:sz w:val="24"/>
          <w:szCs w:val="24"/>
        </w:rPr>
      </w:pPr>
    </w:p>
    <w:p w:rsidR="00220B3F" w:rsidRPr="000B0032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  <w:r w:rsidRPr="000B0032">
        <w:rPr>
          <w:b/>
          <w:sz w:val="24"/>
          <w:szCs w:val="24"/>
          <w:lang w:eastAsia="ru-RU"/>
        </w:rPr>
        <w:t>4. Оценка достоверности ожидаемого исполнения областного бюджета за текущий год</w:t>
      </w:r>
    </w:p>
    <w:p w:rsidR="00220B3F" w:rsidRDefault="00220B3F" w:rsidP="00220B3F">
      <w:pPr>
        <w:ind w:firstLine="709"/>
        <w:rPr>
          <w:sz w:val="24"/>
          <w:szCs w:val="24"/>
        </w:rPr>
      </w:pPr>
    </w:p>
    <w:p w:rsidR="00220B3F" w:rsidRPr="008A6AF0" w:rsidRDefault="00220B3F" w:rsidP="00220B3F">
      <w:pPr>
        <w:ind w:firstLine="708"/>
        <w:rPr>
          <w:b/>
          <w:bCs/>
          <w:sz w:val="24"/>
          <w:szCs w:val="24"/>
        </w:rPr>
      </w:pPr>
      <w:r w:rsidRPr="008A6AF0">
        <w:rPr>
          <w:sz w:val="24"/>
          <w:szCs w:val="24"/>
        </w:rPr>
        <w:t>Ожидаемое исполнение областного бюджета за 2016 год в целом по доходам по оценке Администрации может составить 51 980 365,2 тыс.руб. (за 2015 год – 51 200 927,7 тыс.руб.), с темпом роста к уровню 2015 года – 101,5 %, в сопоставимых ценах – 94,4 %, в том числе: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>- по налоговым и неналоговым доходам 41 801 120,2 тыс.руб., с темпом роста – 102,4 %, в сопоставимых ценах – 95,3 %,</w:t>
      </w:r>
    </w:p>
    <w:p w:rsidR="00220B3F" w:rsidRPr="008A6AF0" w:rsidRDefault="00220B3F" w:rsidP="00220B3F">
      <w:pPr>
        <w:ind w:firstLine="709"/>
        <w:rPr>
          <w:b/>
          <w:sz w:val="24"/>
          <w:szCs w:val="24"/>
        </w:rPr>
      </w:pPr>
      <w:r w:rsidRPr="008A6AF0">
        <w:rPr>
          <w:sz w:val="24"/>
          <w:szCs w:val="24"/>
        </w:rPr>
        <w:t>- по безвозмездным поступлениям 10 179 245,0 тыс.руб., со снижением темпов до 98,1 %, в сопоставимых ценах – 91,3 %.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>Учитывая текущие показатели развития экономики, Контрольно-счетной палатой произведена оценка ожидаемого исполнения областного бюджета в 2016 году по отдельным видам налоговых и неналоговых поступлений.</w:t>
      </w:r>
    </w:p>
    <w:p w:rsidR="00220B3F" w:rsidRPr="008A6AF0" w:rsidRDefault="00220B3F" w:rsidP="00220B3F">
      <w:pPr>
        <w:ind w:firstLine="708"/>
        <w:rPr>
          <w:sz w:val="24"/>
          <w:szCs w:val="24"/>
        </w:rPr>
      </w:pPr>
      <w:r w:rsidRPr="008A6AF0">
        <w:rPr>
          <w:sz w:val="24"/>
          <w:szCs w:val="24"/>
        </w:rPr>
        <w:t>По оценке Администрации в 2016 году прибыль организаций ожидается в объеме 87 572,6 млн.руб. с темпом роста к уровню 2015 года – 81,7 % (в сопоставимых ценах – 75,9 %). Так</w:t>
      </w:r>
      <w:r>
        <w:rPr>
          <w:sz w:val="24"/>
          <w:szCs w:val="24"/>
        </w:rPr>
        <w:t>,</w:t>
      </w:r>
      <w:r w:rsidRPr="008A6AF0">
        <w:rPr>
          <w:sz w:val="24"/>
          <w:szCs w:val="24"/>
        </w:rPr>
        <w:t xml:space="preserve"> по состоянию на 1 августа 2016 года, по данным Томскстата, предприятиями зафиксирована прибыль в размере 45 60</w:t>
      </w:r>
      <w:r>
        <w:rPr>
          <w:sz w:val="24"/>
          <w:szCs w:val="24"/>
        </w:rPr>
        <w:t>9,3 млн.руб. (темп роста – 45,6</w:t>
      </w:r>
      <w:r w:rsidRPr="008A6AF0">
        <w:rPr>
          <w:sz w:val="24"/>
          <w:szCs w:val="24"/>
        </w:rPr>
        <w:t>%), сальдированный финансовый результат составил 3</w:t>
      </w:r>
      <w:r>
        <w:rPr>
          <w:sz w:val="24"/>
          <w:szCs w:val="24"/>
        </w:rPr>
        <w:t>9 925,1 млн.руб</w:t>
      </w:r>
      <w:r w:rsidRPr="008A6AF0">
        <w:rPr>
          <w:sz w:val="24"/>
          <w:szCs w:val="24"/>
        </w:rPr>
        <w:t>.</w:t>
      </w:r>
    </w:p>
    <w:p w:rsidR="00220B3F" w:rsidRPr="008A6AF0" w:rsidRDefault="00220B3F" w:rsidP="00220B3F">
      <w:pPr>
        <w:rPr>
          <w:sz w:val="24"/>
          <w:szCs w:val="24"/>
        </w:rPr>
      </w:pPr>
      <w:r w:rsidRPr="008A6AF0">
        <w:rPr>
          <w:sz w:val="24"/>
          <w:szCs w:val="24"/>
        </w:rPr>
        <w:tab/>
        <w:t>Наибольшую прибыль за январь-июль т.г. (20 166,3 млн.руб. или 44,2 % общего объема) показала добыча полезных ископаемых с темпом роста  всего 66,1 %.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>Обрабатывающие производства показали 8 659,9 млн.руб. (19 % общего объема), темп роста составил 114,2 %, операции с недвижимым имуществом, аренда и предоставление услуг – 5 984,6 млн.руб. с ростом в 2,8 раза в сравнении с аналогичным периодом прошлого года.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>Доля прибыльных предприятий увеличилась с 64,3 % по ито</w:t>
      </w:r>
      <w:r>
        <w:rPr>
          <w:sz w:val="24"/>
          <w:szCs w:val="24"/>
        </w:rPr>
        <w:t>гам 7 месяцев 2015 года до 71,2</w:t>
      </w:r>
      <w:r w:rsidRPr="008A6AF0">
        <w:rPr>
          <w:sz w:val="24"/>
          <w:szCs w:val="24"/>
        </w:rPr>
        <w:t>% по итогам аналогичного периода т.г. Увеличение доли прибыльных предприятий произошло по всем видам деятельности, за исключением оптовой и розничной торговли, где отмечено увеличение убыточных предприятий на 7,1 п.п.</w:t>
      </w:r>
    </w:p>
    <w:p w:rsidR="00220B3F" w:rsidRPr="008A6AF0" w:rsidRDefault="00220B3F" w:rsidP="00220B3F">
      <w:pPr>
        <w:ind w:firstLine="708"/>
        <w:rPr>
          <w:sz w:val="24"/>
          <w:szCs w:val="24"/>
        </w:rPr>
      </w:pPr>
      <w:r w:rsidRPr="008A6AF0">
        <w:rPr>
          <w:sz w:val="24"/>
          <w:szCs w:val="24"/>
        </w:rPr>
        <w:t>Объем поступлений налога на прибыль организаций в областной бюджет по состоянию на 01.09.2019 года составил 13 618,2 млн.руб.</w:t>
      </w:r>
      <w:r>
        <w:rPr>
          <w:sz w:val="24"/>
          <w:szCs w:val="24"/>
        </w:rPr>
        <w:t>,</w:t>
      </w:r>
      <w:r w:rsidRPr="008A6AF0">
        <w:rPr>
          <w:sz w:val="24"/>
          <w:szCs w:val="24"/>
        </w:rPr>
        <w:t xml:space="preserve"> или 99,4 % от прогнозируемого Администрацией объема поступлений. Сохранение темпов поступлений налога позволит получить по итогам года доход по данному источнику несколько выше прогнозируемого (13,7 млрд.руб.), а именно в размере </w:t>
      </w:r>
      <w:r>
        <w:rPr>
          <w:sz w:val="24"/>
          <w:szCs w:val="24"/>
        </w:rPr>
        <w:t xml:space="preserve">до </w:t>
      </w:r>
      <w:r w:rsidRPr="008A6AF0">
        <w:rPr>
          <w:sz w:val="24"/>
          <w:szCs w:val="24"/>
        </w:rPr>
        <w:t>17,7 млрд.руб., за</w:t>
      </w:r>
      <w:r>
        <w:rPr>
          <w:sz w:val="24"/>
          <w:szCs w:val="24"/>
        </w:rPr>
        <w:t>планированных на 2016 год</w:t>
      </w:r>
      <w:r w:rsidRPr="008A6AF0">
        <w:rPr>
          <w:sz w:val="24"/>
          <w:szCs w:val="24"/>
        </w:rPr>
        <w:t>.</w:t>
      </w:r>
      <w:r>
        <w:rPr>
          <w:sz w:val="24"/>
          <w:szCs w:val="24"/>
        </w:rPr>
        <w:t xml:space="preserve"> Данная сумма может быть уменьшена в случае принятия решений по урегулированию переплаты по налогу в текущем году.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>Для оценки достоверности суммы ожидаемого исполнения по налогу на доходы физических лиц за 2016 год Контрольно-счетной палатой произведен анализ темпов роста поступлений в текущем году, начисленной среднемесячной заработной платы по видам экономической деятельности, динамика налоговой базы и динамика фактических поступлений и задолженности.</w:t>
      </w:r>
      <w:r>
        <w:rPr>
          <w:sz w:val="24"/>
          <w:szCs w:val="24"/>
        </w:rPr>
        <w:t xml:space="preserve"> </w:t>
      </w:r>
      <w:r w:rsidRPr="008A6AF0">
        <w:rPr>
          <w:sz w:val="24"/>
          <w:szCs w:val="24"/>
        </w:rPr>
        <w:t>При проведении анализа учитывались макроэкономические показатели социально-экономического развития Томской области за предыдущие периоды и оценочные показатели Администрации на 2016 год.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>В целом считаем возможным согласиться с оценкой Администрации по объемам поступлений по налогу на доходы физических лиц в 2016 году в консолидированный бюджет в сумме 18 542,5 млн.руб. В то</w:t>
      </w:r>
      <w:r>
        <w:rPr>
          <w:sz w:val="24"/>
          <w:szCs w:val="24"/>
        </w:rPr>
        <w:t xml:space="preserve"> </w:t>
      </w:r>
      <w:r w:rsidRPr="008A6AF0">
        <w:rPr>
          <w:sz w:val="24"/>
          <w:szCs w:val="24"/>
        </w:rPr>
        <w:t>же время сохранение темпов роста оплаты труда по основным видам экономической деятельности в 3 квартале 2016 года позволит получить по итогам года до 18,6 млрд.руб.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 xml:space="preserve">По итогам оценки исполнения по налогу на имущество организаций за 2016 год </w:t>
      </w:r>
      <w:r w:rsidRPr="008A6AF0">
        <w:rPr>
          <w:sz w:val="24"/>
          <w:szCs w:val="24"/>
        </w:rPr>
        <w:lastRenderedPageBreak/>
        <w:t>установлено, что при сохранении достигнутого среднемесячного темпа роста поступления данного налога есть возможность обеспечить объем поступлений в сумме около 5,6 млрд.руб.</w:t>
      </w:r>
    </w:p>
    <w:p w:rsidR="00220B3F" w:rsidRPr="008A6AF0" w:rsidRDefault="00220B3F" w:rsidP="00220B3F">
      <w:pPr>
        <w:ind w:firstLine="709"/>
        <w:rPr>
          <w:sz w:val="24"/>
          <w:szCs w:val="24"/>
        </w:rPr>
      </w:pPr>
      <w:r w:rsidRPr="008A6AF0">
        <w:rPr>
          <w:sz w:val="24"/>
          <w:szCs w:val="24"/>
        </w:rPr>
        <w:t>Учитывая среднегодовые и среднемесячные темпы роста транспортного налога в текущем году и за предшествующие периоды имеются предположения о неисполнении оценочного значения (445,5 млн.ру</w:t>
      </w:r>
      <w:r>
        <w:rPr>
          <w:sz w:val="24"/>
          <w:szCs w:val="24"/>
        </w:rPr>
        <w:t>б.) поступлений в 2016 году до 4</w:t>
      </w:r>
      <w:r w:rsidRPr="008A6AF0">
        <w:rPr>
          <w:sz w:val="24"/>
          <w:szCs w:val="24"/>
        </w:rPr>
        <w:t>0 млн.руб.</w:t>
      </w:r>
    </w:p>
    <w:p w:rsidR="00220B3F" w:rsidRPr="008A6AF0" w:rsidRDefault="00220B3F" w:rsidP="00220B3F">
      <w:pPr>
        <w:ind w:firstLine="708"/>
        <w:rPr>
          <w:sz w:val="24"/>
          <w:szCs w:val="24"/>
        </w:rPr>
      </w:pPr>
      <w:r w:rsidRPr="008A6AF0">
        <w:rPr>
          <w:sz w:val="24"/>
          <w:szCs w:val="24"/>
        </w:rPr>
        <w:t>Учитывая фактическое исполнение по виду неналогового дохода «платежи при пользовании природными ресурсами» за 9 месяцев т.г. (824,6 млн.руб. – консолидированный бюджет, 254,2 млн.руб. – областной бюджет) и оценке Администрации на год (616,2 млн.руб. – консолидированный бюджет, 355,7 млн.руб. – областной бюджет) по расчетам палаты ожидаемое исполнение по данному неналоговому доходу может составить не ниже 900 млн.руб. в консолидированном бюджете и не ниже 347,3 млн.руб. в областном бюджете.</w:t>
      </w:r>
    </w:p>
    <w:p w:rsidR="00220B3F" w:rsidRDefault="00220B3F" w:rsidP="00220B3F">
      <w:pPr>
        <w:ind w:firstLine="708"/>
        <w:rPr>
          <w:sz w:val="24"/>
          <w:szCs w:val="24"/>
        </w:rPr>
      </w:pPr>
      <w:r w:rsidRPr="008A6AF0">
        <w:rPr>
          <w:sz w:val="24"/>
          <w:szCs w:val="24"/>
        </w:rPr>
        <w:t>Плановые назначения по виду неналогового дохода «доходы от оказания платных услуг и компенсации затрат государства» на 2016 год в областном бюджете составляют 71,5 млн.руб. С учетом фактического поступления в областной бюджет за 9 месяцев т.г. данного дохода в объеме 48,0 млн.руб. и оценке Администрации на т.г. – 57,7 млн.руб. палата считает возможным допустить ожидаемый объем поступлений по итогам 2016 года при существующих темпах прироста в размере не ниже 63 млн.руб.</w:t>
      </w:r>
    </w:p>
    <w:p w:rsidR="00220B3F" w:rsidRPr="008A6AF0" w:rsidRDefault="00220B3F" w:rsidP="00220B3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Оценка ожидаемого исполнения иных доходных источников, в том числе по доходам от использования имущества, приведена в соответствующих подразделах раздела 5 настоящего заключения.</w:t>
      </w:r>
    </w:p>
    <w:p w:rsidR="00220B3F" w:rsidRPr="008A6AF0" w:rsidRDefault="00220B3F" w:rsidP="00220B3F">
      <w:pPr>
        <w:widowControl/>
        <w:autoSpaceDE/>
        <w:autoSpaceDN/>
        <w:adjustRightInd/>
        <w:ind w:firstLine="708"/>
        <w:rPr>
          <w:sz w:val="24"/>
          <w:szCs w:val="24"/>
          <w:lang w:eastAsia="ru-RU"/>
        </w:rPr>
      </w:pPr>
    </w:p>
    <w:p w:rsidR="00220B3F" w:rsidRPr="000B0032" w:rsidRDefault="00220B3F" w:rsidP="00220B3F">
      <w:pPr>
        <w:ind w:firstLine="709"/>
        <w:jc w:val="left"/>
        <w:rPr>
          <w:b/>
          <w:sz w:val="24"/>
          <w:szCs w:val="24"/>
          <w:lang w:eastAsia="ru-RU"/>
        </w:rPr>
      </w:pPr>
      <w:r w:rsidRPr="000B0032">
        <w:rPr>
          <w:b/>
          <w:sz w:val="24"/>
          <w:szCs w:val="24"/>
          <w:lang w:eastAsia="ru-RU"/>
        </w:rPr>
        <w:t>5. Доходы областного бюджета</w:t>
      </w:r>
    </w:p>
    <w:p w:rsidR="00220B3F" w:rsidRPr="000B0032" w:rsidRDefault="00220B3F" w:rsidP="00220B3F">
      <w:pPr>
        <w:widowControl/>
        <w:autoSpaceDE/>
        <w:autoSpaceDN/>
        <w:adjustRightInd/>
        <w:ind w:firstLine="0"/>
        <w:jc w:val="left"/>
        <w:rPr>
          <w:sz w:val="24"/>
          <w:szCs w:val="24"/>
          <w:lang w:eastAsia="ru-RU"/>
        </w:rPr>
      </w:pPr>
    </w:p>
    <w:p w:rsidR="00220B3F" w:rsidRPr="000B0032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  <w:r w:rsidRPr="000B0032">
        <w:rPr>
          <w:b/>
          <w:sz w:val="24"/>
          <w:szCs w:val="24"/>
          <w:lang w:eastAsia="ru-RU"/>
        </w:rPr>
        <w:t>5.1. Налог на прибыль организаций</w:t>
      </w:r>
    </w:p>
    <w:p w:rsidR="00220B3F" w:rsidRPr="000B0032" w:rsidRDefault="00220B3F" w:rsidP="00220B3F">
      <w:pPr>
        <w:widowControl/>
        <w:autoSpaceDE/>
        <w:autoSpaceDN/>
        <w:adjustRightInd/>
        <w:ind w:firstLine="0"/>
        <w:rPr>
          <w:sz w:val="24"/>
          <w:szCs w:val="24"/>
          <w:lang w:eastAsia="ru-RU"/>
        </w:rPr>
      </w:pP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>Ожидаемое исполнение областного бюджета в 2016 году по налогу на прибыль организаций оценивается Администрацией в объеме 13 697,6 млн.руб, темп роста к уровню 2015 года составит 90 %, в сопоставимых ценах – 83,7 %.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>В материалах и документах к законопроекту поступление налога на прибыль организаций в областной бюджет прогнозируется в следующих объемах:</w:t>
      </w:r>
    </w:p>
    <w:p w:rsidR="00220B3F" w:rsidRPr="004A4F4D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>на 2017 год – 18 531,0 млн.руб., с темпом роста 135,3 %, в сопоставимых ценах – 128,1 %;</w:t>
      </w:r>
    </w:p>
    <w:p w:rsidR="00220B3F" w:rsidRPr="004A4F4D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>на 2018 год – 18 276,4 млн.руб., с темпом роста 98,6 %, в сопоставимых ценах – 94,4 %;</w:t>
      </w:r>
    </w:p>
    <w:p w:rsidR="00220B3F" w:rsidRPr="004A4F4D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>на 2019 год – 18 834,7 млн.руб., с темпом роста 101,7%, в сопоставимых ценах – 96,4%.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>Доля налога на прибыль в объеме собственных доходов областного бюджета в 2016 году ожидается в размере 32,8 %, с увеличением в 2017-2019 г</w:t>
      </w:r>
      <w:r w:rsidR="00054A9C">
        <w:rPr>
          <w:sz w:val="24"/>
          <w:szCs w:val="24"/>
        </w:rPr>
        <w:t xml:space="preserve">.г. - </w:t>
      </w:r>
      <w:r w:rsidRPr="004A4F4D">
        <w:rPr>
          <w:sz w:val="24"/>
          <w:szCs w:val="24"/>
        </w:rPr>
        <w:t xml:space="preserve"> до 38,6 %, 37,5 % и 37,3 %.</w:t>
      </w:r>
    </w:p>
    <w:p w:rsidR="00220B3F" w:rsidRPr="004A4F4D" w:rsidRDefault="00220B3F" w:rsidP="00220B3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4A4F4D">
        <w:rPr>
          <w:sz w:val="24"/>
          <w:szCs w:val="24"/>
        </w:rPr>
        <w:t>иаграмма</w:t>
      </w:r>
      <w:r>
        <w:rPr>
          <w:sz w:val="24"/>
          <w:szCs w:val="24"/>
        </w:rPr>
        <w:t xml:space="preserve"> 3</w:t>
      </w:r>
      <w:r w:rsidRPr="004A4F4D">
        <w:rPr>
          <w:sz w:val="24"/>
          <w:szCs w:val="24"/>
        </w:rPr>
        <w:t xml:space="preserve"> </w:t>
      </w:r>
    </w:p>
    <w:p w:rsidR="00220B3F" w:rsidRDefault="00220B3F" w:rsidP="00220B3F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19320" cy="2393950"/>
            <wp:effectExtent l="0" t="0" r="24130" b="254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0B3F" w:rsidRDefault="00220B3F" w:rsidP="00220B3F">
      <w:pPr>
        <w:ind w:firstLine="720"/>
        <w:rPr>
          <w:sz w:val="24"/>
          <w:szCs w:val="24"/>
        </w:rPr>
      </w:pPr>
    </w:p>
    <w:p w:rsidR="00220B3F" w:rsidRPr="004A4F4D" w:rsidRDefault="00220B3F" w:rsidP="00220B3F">
      <w:pPr>
        <w:ind w:firstLine="720"/>
        <w:rPr>
          <w:sz w:val="24"/>
          <w:szCs w:val="24"/>
        </w:rPr>
      </w:pPr>
      <w:r w:rsidRPr="004A4F4D">
        <w:rPr>
          <w:sz w:val="24"/>
          <w:szCs w:val="24"/>
        </w:rPr>
        <w:t xml:space="preserve">Контрольно-счетной палатой проведен анализ расчета налога на прибыль организаций на </w:t>
      </w:r>
      <w:r w:rsidRPr="004A4F4D">
        <w:rPr>
          <w:sz w:val="24"/>
          <w:szCs w:val="24"/>
        </w:rPr>
        <w:lastRenderedPageBreak/>
        <w:t>период 2017-2019 гг. по критериям и с учетом обстоятельств, указанных в материалах к законопроекту, а также с учетом рассчитанного ожидаемого объема поступлений за 2016 год.</w:t>
      </w:r>
    </w:p>
    <w:p w:rsidR="00220B3F" w:rsidRPr="004A4F4D" w:rsidRDefault="00220B3F" w:rsidP="00220B3F">
      <w:pPr>
        <w:ind w:firstLine="720"/>
        <w:rPr>
          <w:sz w:val="24"/>
          <w:szCs w:val="24"/>
        </w:rPr>
      </w:pPr>
      <w:r w:rsidRPr="004A4F4D">
        <w:rPr>
          <w:sz w:val="24"/>
          <w:szCs w:val="24"/>
        </w:rPr>
        <w:t>В соответствии с основными прогнозными показателями социально-экономического развития Томской области на 2017 год и на период до 2019 года (материалы и документы к законопроекту) Администрацией в качестве основного для составления проекта областного бюджета на 2017 год и на плановый период 2018 и 2019 годов рассматривается Вариант 1  (Базовый).</w:t>
      </w:r>
    </w:p>
    <w:p w:rsidR="00220B3F" w:rsidRPr="004A4F4D" w:rsidRDefault="00220B3F" w:rsidP="00220B3F">
      <w:pPr>
        <w:ind w:firstLine="720"/>
        <w:rPr>
          <w:sz w:val="24"/>
          <w:szCs w:val="24"/>
        </w:rPr>
      </w:pPr>
      <w:r w:rsidRPr="004A4F4D">
        <w:rPr>
          <w:sz w:val="24"/>
          <w:szCs w:val="24"/>
        </w:rPr>
        <w:t xml:space="preserve">Данный вариант характеризует развитие экономики </w:t>
      </w:r>
      <w:r>
        <w:rPr>
          <w:sz w:val="24"/>
          <w:szCs w:val="24"/>
        </w:rPr>
        <w:t xml:space="preserve">области </w:t>
      </w:r>
      <w:r w:rsidRPr="004A4F4D">
        <w:rPr>
          <w:sz w:val="24"/>
          <w:szCs w:val="24"/>
        </w:rPr>
        <w:t>в условиях сохранения консервативных тенденций изменения внешних факторов при сохранении консервативной бюджетной политики, в том числе в части социальных обязательств государства. В конце 2016 года предполагается возобновление экономического роста, в 2017 году прирост ВРП прогнозируется темпом 0,9%, в 2018 году – 2% и в 2019 году – 2,5%.</w:t>
      </w:r>
    </w:p>
    <w:p w:rsidR="00220B3F" w:rsidRPr="004A4F4D" w:rsidRDefault="00220B3F" w:rsidP="00220B3F">
      <w:pPr>
        <w:ind w:firstLine="720"/>
        <w:rPr>
          <w:sz w:val="24"/>
          <w:szCs w:val="24"/>
        </w:rPr>
      </w:pPr>
      <w:r w:rsidRPr="004A4F4D">
        <w:rPr>
          <w:sz w:val="24"/>
          <w:szCs w:val="24"/>
        </w:rPr>
        <w:t>Согласно макроэкономическим показателям развития области по итогам 2016 года ожидается замедление темпов роста, что характеризует общую ситуацию в стране в целом.</w:t>
      </w:r>
    </w:p>
    <w:p w:rsidR="00220B3F" w:rsidRPr="004A4F4D" w:rsidRDefault="00220B3F" w:rsidP="00220B3F">
      <w:pPr>
        <w:ind w:firstLine="720"/>
        <w:rPr>
          <w:sz w:val="24"/>
          <w:szCs w:val="24"/>
        </w:rPr>
      </w:pPr>
      <w:r w:rsidRPr="004A4F4D">
        <w:rPr>
          <w:sz w:val="24"/>
          <w:szCs w:val="24"/>
        </w:rPr>
        <w:t>В то</w:t>
      </w:r>
      <w:r>
        <w:rPr>
          <w:sz w:val="24"/>
          <w:szCs w:val="24"/>
        </w:rPr>
        <w:t xml:space="preserve"> </w:t>
      </w:r>
      <w:r w:rsidRPr="004A4F4D">
        <w:rPr>
          <w:sz w:val="24"/>
          <w:szCs w:val="24"/>
        </w:rPr>
        <w:t>же время темп роста прибыли в 2017-2019 гг. прогнозируется в размере 106,3%, 107,9% и 106,8%, в сопоставимых ценах – 98,8%, 101,2% и 101,2% соответственно.</w:t>
      </w:r>
    </w:p>
    <w:p w:rsidR="00220B3F" w:rsidRDefault="00220B3F" w:rsidP="00220B3F">
      <w:pPr>
        <w:ind w:firstLine="709"/>
        <w:rPr>
          <w:sz w:val="24"/>
          <w:szCs w:val="24"/>
        </w:rPr>
      </w:pPr>
      <w:r w:rsidRPr="004A4F4D">
        <w:rPr>
          <w:sz w:val="24"/>
          <w:szCs w:val="24"/>
        </w:rPr>
        <w:t>Согласно материалам прогнозируется снижение доли прибыльных предприятий с 72,6 % в 2014 году до 68,9 % в 2019 году при одновременном росте их прибыльности до 105 844,4 млн.руб.</w:t>
      </w:r>
      <w:r w:rsidR="00611E7B">
        <w:rPr>
          <w:sz w:val="24"/>
          <w:szCs w:val="24"/>
        </w:rPr>
        <w:t>,</w:t>
      </w:r>
      <w:r w:rsidRPr="004A4F4D">
        <w:rPr>
          <w:sz w:val="24"/>
          <w:szCs w:val="24"/>
        </w:rPr>
        <w:t xml:space="preserve"> или почти в 2 раза и увеличении сальдированного финансового результата почти в 3 раза </w:t>
      </w:r>
      <w:r w:rsidR="00611E7B">
        <w:rPr>
          <w:sz w:val="24"/>
          <w:szCs w:val="24"/>
        </w:rPr>
        <w:t xml:space="preserve">- </w:t>
      </w:r>
      <w:r w:rsidRPr="004A4F4D">
        <w:rPr>
          <w:sz w:val="24"/>
          <w:szCs w:val="24"/>
        </w:rPr>
        <w:t xml:space="preserve">до 87 344,8 млн.руб. Минимальный объем убытков предполагается на 2016 год – 15 278,7 млн.руб., на прогнозируемый период </w:t>
      </w:r>
      <w:r w:rsidR="00611E7B">
        <w:rPr>
          <w:sz w:val="24"/>
          <w:szCs w:val="24"/>
        </w:rPr>
        <w:t xml:space="preserve">- </w:t>
      </w:r>
      <w:r w:rsidRPr="004A4F4D">
        <w:rPr>
          <w:sz w:val="24"/>
          <w:szCs w:val="24"/>
        </w:rPr>
        <w:t>с 16 360,2 млн.руб. в 2017 году до 18 459,6 млн.руб. в 2019 году.</w:t>
      </w:r>
    </w:p>
    <w:p w:rsidR="00220B3F" w:rsidRPr="004A4F4D" w:rsidRDefault="00220B3F" w:rsidP="00220B3F">
      <w:pPr>
        <w:ind w:firstLine="709"/>
        <w:rPr>
          <w:sz w:val="24"/>
          <w:szCs w:val="24"/>
        </w:rPr>
      </w:pPr>
    </w:p>
    <w:p w:rsidR="00220B3F" w:rsidRPr="004A4F4D" w:rsidRDefault="00220B3F" w:rsidP="00220B3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4A4F4D">
        <w:rPr>
          <w:sz w:val="24"/>
          <w:szCs w:val="24"/>
        </w:rPr>
        <w:t>иаграмма</w:t>
      </w:r>
      <w:r>
        <w:rPr>
          <w:sz w:val="24"/>
          <w:szCs w:val="24"/>
        </w:rPr>
        <w:t xml:space="preserve"> 4</w:t>
      </w:r>
      <w:r w:rsidRPr="004A4F4D">
        <w:rPr>
          <w:sz w:val="24"/>
          <w:szCs w:val="24"/>
        </w:rPr>
        <w:t xml:space="preserve"> </w:t>
      </w:r>
    </w:p>
    <w:p w:rsidR="00220B3F" w:rsidRDefault="00220B3F" w:rsidP="00220B3F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56325" cy="3326130"/>
            <wp:effectExtent l="0" t="0" r="15875" b="2667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0B3F" w:rsidRDefault="00220B3F" w:rsidP="00220B3F">
      <w:pPr>
        <w:ind w:firstLine="708"/>
        <w:rPr>
          <w:sz w:val="24"/>
          <w:szCs w:val="24"/>
        </w:rPr>
      </w:pP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>Учитывая текущее состояние экономики (описано в соответствующих разделах настоящего заключения), прогноз развития на период 2017–2019 годов, а также уровень ожидаемых поступлений по налогу на прибыль по итогам 2016 года в объеме не менее 17,7 млрд.руб. при прочих равных условиях (расчет не учитывает возможные возвраты по налогу на прибыль) объем поступлений в 2017 году может составить до 19 млрд.руб.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Принимаемые</w:t>
      </w:r>
      <w:r w:rsidRPr="004A4F4D">
        <w:rPr>
          <w:sz w:val="24"/>
          <w:szCs w:val="24"/>
        </w:rPr>
        <w:t xml:space="preserve"> на федеральном уровне меры по сбалансированности</w:t>
      </w:r>
      <w:r>
        <w:rPr>
          <w:sz w:val="24"/>
          <w:szCs w:val="24"/>
        </w:rPr>
        <w:t xml:space="preserve"> бюджетной системы</w:t>
      </w:r>
      <w:r w:rsidRPr="004A4F4D">
        <w:rPr>
          <w:sz w:val="24"/>
          <w:szCs w:val="24"/>
        </w:rPr>
        <w:t xml:space="preserve"> позволяют предположить возникновение рисков формирования и поступления с 2017 года налога на прибыль, например</w:t>
      </w:r>
      <w:r>
        <w:rPr>
          <w:sz w:val="24"/>
          <w:szCs w:val="24"/>
        </w:rPr>
        <w:t>,</w:t>
      </w:r>
      <w:r w:rsidRPr="004A4F4D">
        <w:rPr>
          <w:sz w:val="24"/>
          <w:szCs w:val="24"/>
        </w:rPr>
        <w:t xml:space="preserve"> такие как: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lastRenderedPageBreak/>
        <w:t>- переход налогоплательщиков на упрощенную систему налогообложения в связи с увеличением порогового значения выручки для ее применения;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>- изменение существующего соотношения ставок налога на прибыль организаций между федеральным бюджетом и бюджетом субъекта Российской Федерации, установив для федерального бюджета ставку налога на прибыль в размере 3 процентов, для субъектов Российской Федерации - 17 процентов.</w:t>
      </w:r>
    </w:p>
    <w:p w:rsidR="00220B3F" w:rsidRPr="004A4F4D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ab/>
        <w:t>Одновременно планируется изменение подхода к формированию консолидированной налоговой базы КГН</w:t>
      </w:r>
      <w:r w:rsidR="00611E7B">
        <w:rPr>
          <w:sz w:val="24"/>
          <w:szCs w:val="24"/>
        </w:rPr>
        <w:t>,</w:t>
      </w:r>
      <w:r w:rsidRPr="004A4F4D">
        <w:rPr>
          <w:sz w:val="24"/>
          <w:szCs w:val="24"/>
        </w:rPr>
        <w:t xml:space="preserve"> ограничив сумму уменьшения налоговой базы КГН, формируемой прибыльными участниками КГН, на сумму убытка, полученного убыточными участниками КГН, размером, не превышающим 30 % от прибыли прибыльных участников КГН.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>Также предполагается отмена переноса убытков, полученных налогоплательщиками в предыдущих налоговых периодах, в размере не более 30 процентов налоговой базы текущего отчетного (налогового) периода, рассчитанной без учета переноса убытков прошлых лет. При этом ограничение срока переноса убытков десятью годами предлагается отменить.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 xml:space="preserve">С учетом изложенного предполагаем возможным </w:t>
      </w:r>
      <w:r>
        <w:rPr>
          <w:sz w:val="24"/>
          <w:szCs w:val="24"/>
        </w:rPr>
        <w:t>поступления</w:t>
      </w:r>
      <w:r w:rsidRPr="004A4F4D">
        <w:rPr>
          <w:sz w:val="24"/>
          <w:szCs w:val="24"/>
        </w:rPr>
        <w:t xml:space="preserve"> по налогу на </w:t>
      </w:r>
      <w:r>
        <w:rPr>
          <w:sz w:val="24"/>
          <w:szCs w:val="24"/>
        </w:rPr>
        <w:t>прибыль организаций, зачисляемые</w:t>
      </w:r>
      <w:r w:rsidRPr="004A4F4D">
        <w:rPr>
          <w:sz w:val="24"/>
          <w:szCs w:val="24"/>
        </w:rPr>
        <w:t xml:space="preserve"> в доход областно</w:t>
      </w:r>
      <w:r>
        <w:rPr>
          <w:sz w:val="24"/>
          <w:szCs w:val="24"/>
        </w:rPr>
        <w:t xml:space="preserve">го бюджета на 2017–2019 годы, в объемах, предложенных </w:t>
      </w:r>
      <w:r w:rsidRPr="004A4F4D">
        <w:rPr>
          <w:sz w:val="24"/>
          <w:szCs w:val="24"/>
        </w:rPr>
        <w:t>Администрации Томской области</w:t>
      </w:r>
      <w:r>
        <w:rPr>
          <w:sz w:val="24"/>
          <w:szCs w:val="24"/>
        </w:rPr>
        <w:t>. При этом в работе Согласительной комиссии необходимо внимательно рассмотреть ситуацию по влиянию на достоверность прогнозирования доходов образовавшейся в текущем году переплаты по налогу по ОАО «Томскнефть ВНК» и иным организациям (по информации УФНС России по Томской области на 01.09.2016 – 3 858 млн.руб. с тенденцией к росту до конца года).</w:t>
      </w:r>
    </w:p>
    <w:p w:rsidR="00220B3F" w:rsidRPr="00F206BF" w:rsidRDefault="00220B3F" w:rsidP="00220B3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Также на </w:t>
      </w:r>
      <w:r w:rsidRPr="004A4F4D">
        <w:rPr>
          <w:sz w:val="24"/>
          <w:szCs w:val="24"/>
        </w:rPr>
        <w:t xml:space="preserve">момент подготовки заключения имеется неопределенность в части действий федерального центра относительно изменения существующего соотношения ставок налога на прибыль организаций. Так, в размещенном на официальном сайте Минфина РФ проекте основных направлений налоговой политики на 2017 год и на плановый период 2018 и 2019 годов от 05.10.2016 предложен вариант </w:t>
      </w:r>
      <w:r w:rsidRPr="00F206BF">
        <w:rPr>
          <w:sz w:val="24"/>
          <w:szCs w:val="24"/>
        </w:rPr>
        <w:t>увеличения ставк</w:t>
      </w:r>
      <w:r>
        <w:rPr>
          <w:sz w:val="24"/>
          <w:szCs w:val="24"/>
        </w:rPr>
        <w:t>и налога на прибыль, зачисляемого</w:t>
      </w:r>
      <w:r w:rsidRPr="00F206BF">
        <w:rPr>
          <w:sz w:val="24"/>
          <w:szCs w:val="24"/>
        </w:rPr>
        <w:t xml:space="preserve"> в федеральный бюджет</w:t>
      </w:r>
      <w:r>
        <w:rPr>
          <w:sz w:val="24"/>
          <w:szCs w:val="24"/>
        </w:rPr>
        <w:t>, с 2 % до 3 %; о</w:t>
      </w:r>
      <w:r w:rsidRPr="00F206BF">
        <w:rPr>
          <w:sz w:val="24"/>
          <w:szCs w:val="24"/>
        </w:rPr>
        <w:t>дновременно на официальном сайте Государственной Думы РФ размещена информация о подготовке к рассмотрению законопроекта о внесении изменений в статью 284 Налогового кодекса РФ о снижении ставки налога на прибыль, зачисляемого в федеральный бюджет, с 2 % до 1 %.</w:t>
      </w:r>
    </w:p>
    <w:p w:rsidR="00220B3F" w:rsidRDefault="00220B3F" w:rsidP="00220B3F">
      <w:pPr>
        <w:ind w:firstLine="709"/>
        <w:rPr>
          <w:b/>
          <w:sz w:val="24"/>
          <w:szCs w:val="24"/>
        </w:rPr>
      </w:pPr>
    </w:p>
    <w:p w:rsidR="00220B3F" w:rsidRPr="000B0032" w:rsidRDefault="00220B3F" w:rsidP="00220B3F">
      <w:pPr>
        <w:ind w:firstLine="709"/>
        <w:rPr>
          <w:b/>
          <w:sz w:val="24"/>
          <w:szCs w:val="24"/>
        </w:rPr>
      </w:pPr>
      <w:r w:rsidRPr="000B0032">
        <w:rPr>
          <w:b/>
          <w:sz w:val="24"/>
          <w:szCs w:val="24"/>
        </w:rPr>
        <w:t>5.2</w:t>
      </w:r>
      <w:r w:rsidR="005C60BD">
        <w:rPr>
          <w:b/>
          <w:sz w:val="24"/>
          <w:szCs w:val="24"/>
        </w:rPr>
        <w:t>.</w:t>
      </w:r>
      <w:r w:rsidRPr="000B0032">
        <w:rPr>
          <w:b/>
          <w:sz w:val="24"/>
          <w:szCs w:val="24"/>
        </w:rPr>
        <w:t xml:space="preserve"> Налог на доходы физических лиц</w:t>
      </w:r>
    </w:p>
    <w:p w:rsidR="00220B3F" w:rsidRPr="000B0032" w:rsidRDefault="00220B3F" w:rsidP="00220B3F">
      <w:pPr>
        <w:ind w:firstLine="708"/>
        <w:rPr>
          <w:sz w:val="24"/>
          <w:szCs w:val="24"/>
        </w:rPr>
      </w:pP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 xml:space="preserve">Ожидаемое исполнение консолидированного бюджета в 2016 году по налогу на доходы физических лиц </w:t>
      </w:r>
      <w:r>
        <w:rPr>
          <w:sz w:val="24"/>
          <w:szCs w:val="24"/>
        </w:rPr>
        <w:t xml:space="preserve">(НДФЛ) </w:t>
      </w:r>
      <w:r w:rsidRPr="004A4F4D">
        <w:rPr>
          <w:sz w:val="24"/>
          <w:szCs w:val="24"/>
        </w:rPr>
        <w:t>по оценке Администрации может составить 18 542,5 млн.руб. (исполнение областного бюджета при действующем нормативе зачисления может составить 12 980,0 млн.руб.), темп роста к уровню 2015 года – 106,6 %, в сопоставимых ценах – 99,2 %.</w:t>
      </w:r>
    </w:p>
    <w:p w:rsidR="00220B3F" w:rsidRPr="004A4F4D" w:rsidRDefault="00220B3F" w:rsidP="00220B3F">
      <w:pPr>
        <w:ind w:firstLine="708"/>
        <w:rPr>
          <w:sz w:val="24"/>
          <w:szCs w:val="24"/>
        </w:rPr>
      </w:pPr>
      <w:r w:rsidRPr="004A4F4D">
        <w:rPr>
          <w:sz w:val="24"/>
          <w:szCs w:val="24"/>
        </w:rPr>
        <w:t>В материалах и документах к законопроекту поступление налога в консолидированный бюджет прогнозируется в следующих объемах:</w:t>
      </w:r>
    </w:p>
    <w:p w:rsidR="00220B3F" w:rsidRPr="004A4F4D" w:rsidRDefault="00220B3F" w:rsidP="00220B3F">
      <w:pPr>
        <w:ind w:right="-1"/>
        <w:rPr>
          <w:sz w:val="24"/>
          <w:szCs w:val="24"/>
        </w:rPr>
      </w:pPr>
      <w:r w:rsidRPr="004A4F4D">
        <w:rPr>
          <w:sz w:val="24"/>
          <w:szCs w:val="24"/>
        </w:rPr>
        <w:t>- на 2017 год – 19 476,6 млн.руб. с темпом роста 105 %;</w:t>
      </w:r>
    </w:p>
    <w:p w:rsidR="00220B3F" w:rsidRPr="004A4F4D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>- на 2018 год – 20 367,2 млн.руб. с темпом роста 104,6 %;</w:t>
      </w:r>
    </w:p>
    <w:p w:rsidR="00220B3F" w:rsidRPr="004A4F4D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>- на 2019 год – 21 191,3 млн.руб. с темпом роста 104 %.</w:t>
      </w:r>
    </w:p>
    <w:p w:rsidR="00220B3F" w:rsidRPr="004A4F4D" w:rsidRDefault="00220B3F" w:rsidP="00220B3F">
      <w:pPr>
        <w:ind w:firstLine="709"/>
        <w:rPr>
          <w:sz w:val="24"/>
          <w:szCs w:val="24"/>
        </w:rPr>
      </w:pPr>
      <w:r w:rsidRPr="004A4F4D">
        <w:rPr>
          <w:sz w:val="24"/>
          <w:szCs w:val="24"/>
        </w:rPr>
        <w:t xml:space="preserve">В соответствии с Бюджетным кодексом РФ доля зачисляемого в областной бюджет </w:t>
      </w:r>
      <w:r>
        <w:rPr>
          <w:sz w:val="24"/>
          <w:szCs w:val="24"/>
        </w:rPr>
        <w:t xml:space="preserve">НДФЛ </w:t>
      </w:r>
      <w:r w:rsidRPr="004A4F4D">
        <w:rPr>
          <w:sz w:val="24"/>
          <w:szCs w:val="24"/>
        </w:rPr>
        <w:t>составляет 85%, а с учетом дополнительного норматива распределения НДФЛ в местные бюджеты доля налога, зачисляемого в областной бюджет, составит 70%.</w:t>
      </w:r>
    </w:p>
    <w:p w:rsidR="00220B3F" w:rsidRDefault="00220B3F" w:rsidP="00220B3F">
      <w:pPr>
        <w:pStyle w:val="aff"/>
        <w:spacing w:before="0" w:beforeAutospacing="0" w:after="0" w:afterAutospacing="0"/>
        <w:ind w:firstLine="708"/>
        <w:jc w:val="both"/>
      </w:pPr>
      <w:r w:rsidRPr="004A4F4D">
        <w:t xml:space="preserve">Доля налога в структуре собственных доходов областного бюджета в 2016 году может составить 31,1%, с сокращением в 2016-2018 годах до 28,4 %, 29,2 % и 29,4 % соответственно. Динамика изменения доли НДФЛ в собственных доходах областного бюджета за период 2010-2018 годы представлена в диаграмме </w:t>
      </w:r>
      <w:r>
        <w:t>5</w:t>
      </w:r>
      <w:r w:rsidRPr="004A4F4D">
        <w:t>.</w:t>
      </w:r>
    </w:p>
    <w:p w:rsidR="00220B3F" w:rsidRDefault="00220B3F" w:rsidP="00220B3F">
      <w:pPr>
        <w:pStyle w:val="aff"/>
        <w:spacing w:before="0" w:beforeAutospacing="0" w:after="0" w:afterAutospacing="0"/>
        <w:ind w:firstLine="708"/>
        <w:jc w:val="both"/>
      </w:pPr>
    </w:p>
    <w:p w:rsidR="00220B3F" w:rsidRDefault="00220B3F" w:rsidP="00220B3F">
      <w:pPr>
        <w:pStyle w:val="aff"/>
        <w:spacing w:before="0" w:beforeAutospacing="0" w:after="0" w:afterAutospacing="0"/>
        <w:ind w:firstLine="708"/>
        <w:jc w:val="both"/>
      </w:pPr>
    </w:p>
    <w:p w:rsidR="00220B3F" w:rsidRPr="004A4F4D" w:rsidRDefault="00220B3F" w:rsidP="00220B3F">
      <w:pPr>
        <w:pStyle w:val="aff"/>
        <w:spacing w:before="0" w:beforeAutospacing="0" w:after="0" w:afterAutospacing="0"/>
        <w:ind w:firstLine="708"/>
        <w:jc w:val="both"/>
      </w:pPr>
    </w:p>
    <w:p w:rsidR="00220B3F" w:rsidRPr="004A4F4D" w:rsidRDefault="00220B3F" w:rsidP="00220B3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диаграмма 5</w:t>
      </w:r>
    </w:p>
    <w:p w:rsidR="00220B3F" w:rsidRPr="004A4F4D" w:rsidRDefault="00220B3F" w:rsidP="00220B3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86960" cy="2424430"/>
            <wp:effectExtent l="0" t="0" r="27940" b="1397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0B3F" w:rsidRDefault="00220B3F" w:rsidP="00220B3F">
      <w:pPr>
        <w:ind w:firstLine="708"/>
        <w:jc w:val="right"/>
      </w:pPr>
    </w:p>
    <w:p w:rsidR="00220B3F" w:rsidRPr="004A4F4D" w:rsidRDefault="00220B3F" w:rsidP="00220B3F">
      <w:pPr>
        <w:ind w:firstLine="709"/>
        <w:rPr>
          <w:sz w:val="24"/>
          <w:szCs w:val="24"/>
        </w:rPr>
      </w:pPr>
      <w:r w:rsidRPr="004A4F4D">
        <w:rPr>
          <w:sz w:val="24"/>
          <w:szCs w:val="24"/>
        </w:rPr>
        <w:t>В пояснительной записке к законопроекту Администрацией представлены условия прогнозирования доходов бюджета от налога на доходы физических лиц. Прогноз поступлений налога рассчитан в условиях действия главы 23 части второй Налогового Кодекса Российской Федерации.</w:t>
      </w:r>
    </w:p>
    <w:p w:rsidR="00220B3F" w:rsidRPr="004A4F4D" w:rsidRDefault="00220B3F" w:rsidP="00220B3F">
      <w:pPr>
        <w:pStyle w:val="32"/>
        <w:tabs>
          <w:tab w:val="left" w:pos="10080"/>
        </w:tabs>
        <w:spacing w:after="0"/>
        <w:ind w:left="0" w:firstLine="709"/>
        <w:jc w:val="both"/>
        <w:rPr>
          <w:sz w:val="24"/>
          <w:szCs w:val="24"/>
        </w:rPr>
      </w:pPr>
      <w:r w:rsidRPr="004A4F4D">
        <w:rPr>
          <w:sz w:val="24"/>
          <w:szCs w:val="24"/>
        </w:rPr>
        <w:t>Расчет налога на доходы физических лиц основывается на прогнозе ожидаемых поступлений налога в 2016 году с учетом темпов роста заработной платы в разрезе муниципальных образований Томской области (в целом по области темп роста заработной платы в 2016 году планируется на уровне 104,5%).</w:t>
      </w:r>
    </w:p>
    <w:p w:rsidR="00220B3F" w:rsidRPr="004A4F4D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ab/>
        <w:t>Проведенный анализ параметров социально-экономического развития области (в т.ч. прогнозных значений) и динамики поступлений по данному виду налога, динамики налоговой базы, темпов роста фонда оплаты труда и прогнозов по его объемам на период 2017 – 2019 годов</w:t>
      </w:r>
      <w:r>
        <w:rPr>
          <w:sz w:val="24"/>
          <w:szCs w:val="24"/>
        </w:rPr>
        <w:t>,</w:t>
      </w:r>
      <w:r w:rsidRPr="004A4F4D">
        <w:rPr>
          <w:sz w:val="24"/>
          <w:szCs w:val="24"/>
        </w:rPr>
        <w:t xml:space="preserve"> показал следующее.</w:t>
      </w:r>
    </w:p>
    <w:p w:rsidR="00220B3F" w:rsidRPr="00EE5C00" w:rsidRDefault="00220B3F" w:rsidP="00220B3F">
      <w:pPr>
        <w:rPr>
          <w:sz w:val="24"/>
          <w:szCs w:val="24"/>
        </w:rPr>
      </w:pPr>
      <w:r w:rsidRPr="004A4F4D">
        <w:rPr>
          <w:sz w:val="24"/>
          <w:szCs w:val="24"/>
        </w:rPr>
        <w:tab/>
        <w:t xml:space="preserve">Прогнозируемый на 2017 год </w:t>
      </w:r>
      <w:r>
        <w:rPr>
          <w:sz w:val="24"/>
          <w:szCs w:val="24"/>
        </w:rPr>
        <w:t>темп роста фонда оплаты труда (</w:t>
      </w:r>
      <w:r w:rsidRPr="004A4F4D">
        <w:rPr>
          <w:sz w:val="24"/>
          <w:szCs w:val="24"/>
        </w:rPr>
        <w:t>106,5 %) в целом по области представляется обоснованным при условии сохранени</w:t>
      </w:r>
      <w:r w:rsidR="00611E7B">
        <w:rPr>
          <w:sz w:val="24"/>
          <w:szCs w:val="24"/>
        </w:rPr>
        <w:t>я</w:t>
      </w:r>
      <w:r w:rsidRPr="004A4F4D">
        <w:rPr>
          <w:sz w:val="24"/>
          <w:szCs w:val="24"/>
        </w:rPr>
        <w:t xml:space="preserve"> темпов роста оплаты труда по основным видам экономической деятельности</w:t>
      </w:r>
      <w:r w:rsidR="00611E7B">
        <w:rPr>
          <w:sz w:val="24"/>
          <w:szCs w:val="24"/>
        </w:rPr>
        <w:t>,</w:t>
      </w:r>
      <w:r w:rsidRPr="004A4F4D">
        <w:rPr>
          <w:sz w:val="24"/>
          <w:szCs w:val="24"/>
        </w:rPr>
        <w:t xml:space="preserve"> в т.ч. посредством перераспределения накопленного хозяйствующими субъектами капитала не только на инвестиционное развитие, но и на материальное стимулирование работников. Кроме этого</w:t>
      </w:r>
      <w:r>
        <w:rPr>
          <w:sz w:val="24"/>
          <w:szCs w:val="24"/>
        </w:rPr>
        <w:t>,</w:t>
      </w:r>
      <w:r w:rsidRPr="004A4F4D">
        <w:rPr>
          <w:sz w:val="24"/>
          <w:szCs w:val="24"/>
        </w:rPr>
        <w:t xml:space="preserve"> существенное влияние </w:t>
      </w:r>
      <w:r>
        <w:rPr>
          <w:sz w:val="24"/>
          <w:szCs w:val="24"/>
        </w:rPr>
        <w:t xml:space="preserve">оказывает </w:t>
      </w:r>
      <w:r w:rsidRPr="004A4F4D">
        <w:rPr>
          <w:sz w:val="24"/>
          <w:szCs w:val="24"/>
        </w:rPr>
        <w:t xml:space="preserve">реализация в прогнозируемом периоде положений Указов Президента РФ от 07.05.2012 в части </w:t>
      </w:r>
      <w:r w:rsidRPr="00EE5C00">
        <w:rPr>
          <w:sz w:val="24"/>
          <w:szCs w:val="24"/>
        </w:rPr>
        <w:t>повышения размера заработной платы работников бюджетной сферы.</w:t>
      </w:r>
    </w:p>
    <w:p w:rsidR="00220B3F" w:rsidRPr="00EE5C00" w:rsidRDefault="00220B3F" w:rsidP="00220B3F">
      <w:pPr>
        <w:rPr>
          <w:color w:val="000000"/>
          <w:sz w:val="24"/>
          <w:szCs w:val="24"/>
          <w:shd w:val="clear" w:color="auto" w:fill="FFFFFF"/>
        </w:rPr>
      </w:pPr>
      <w:r w:rsidRPr="00EE5C00">
        <w:rPr>
          <w:sz w:val="24"/>
          <w:szCs w:val="24"/>
        </w:rPr>
        <w:tab/>
        <w:t xml:space="preserve">Таким образом, </w:t>
      </w:r>
      <w:r w:rsidRPr="00EE5C00">
        <w:rPr>
          <w:b/>
          <w:sz w:val="24"/>
          <w:szCs w:val="24"/>
        </w:rPr>
        <w:t>можно рекомендовать повышение прогнозных значений по доходам консолидированного бюджета</w:t>
      </w:r>
      <w:r w:rsidRPr="00EE5C00">
        <w:rPr>
          <w:sz w:val="24"/>
          <w:szCs w:val="24"/>
        </w:rPr>
        <w:t xml:space="preserve"> на 2017 год</w:t>
      </w:r>
      <w:r>
        <w:rPr>
          <w:sz w:val="24"/>
          <w:szCs w:val="24"/>
        </w:rPr>
        <w:t xml:space="preserve"> </w:t>
      </w:r>
      <w:r w:rsidRPr="00EE5C00">
        <w:rPr>
          <w:sz w:val="24"/>
          <w:szCs w:val="24"/>
        </w:rPr>
        <w:t xml:space="preserve"> до </w:t>
      </w:r>
      <w:r w:rsidRPr="00EE5C00">
        <w:rPr>
          <w:color w:val="000000"/>
          <w:sz w:val="24"/>
          <w:szCs w:val="24"/>
          <w:shd w:val="clear" w:color="auto" w:fill="FFFFFF"/>
        </w:rPr>
        <w:t>19 745 млн.руб. (+268,4 млн.руб.)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EE5C00">
        <w:rPr>
          <w:color w:val="000000"/>
          <w:sz w:val="24"/>
          <w:szCs w:val="24"/>
          <w:shd w:val="clear" w:color="auto" w:fill="FFFFFF"/>
        </w:rPr>
        <w:t xml:space="preserve"> на 2018 год - 20 646 млн.руб. (+278,8 млн.руб.) и на 2019 год - 21 481 млн.руб. (+289,7 млн.руб.).</w:t>
      </w:r>
    </w:p>
    <w:p w:rsidR="00220B3F" w:rsidRDefault="00220B3F" w:rsidP="00220B3F">
      <w:pPr>
        <w:rPr>
          <w:rFonts w:ascii="Lucida Grande" w:hAnsi="Lucida Grande"/>
          <w:color w:val="000000"/>
          <w:sz w:val="24"/>
          <w:szCs w:val="24"/>
          <w:shd w:val="clear" w:color="auto" w:fill="FFFFFF"/>
        </w:rPr>
      </w:pPr>
    </w:p>
    <w:p w:rsidR="00220B3F" w:rsidRDefault="00220B3F" w:rsidP="00220B3F">
      <w:pPr>
        <w:ind w:firstLine="708"/>
        <w:rPr>
          <w:b/>
          <w:sz w:val="24"/>
          <w:szCs w:val="24"/>
          <w:lang w:eastAsia="ru-RU"/>
        </w:rPr>
      </w:pPr>
      <w:r w:rsidRPr="0040532B">
        <w:rPr>
          <w:b/>
          <w:sz w:val="24"/>
          <w:szCs w:val="24"/>
        </w:rPr>
        <w:t>5.3.</w:t>
      </w:r>
      <w:r w:rsidRPr="0040532B">
        <w:rPr>
          <w:b/>
          <w:sz w:val="24"/>
          <w:szCs w:val="24"/>
          <w:lang w:eastAsia="ru-RU"/>
        </w:rPr>
        <w:t xml:space="preserve"> Акцизы по подакцизным</w:t>
      </w:r>
      <w:r w:rsidRPr="0080511E">
        <w:rPr>
          <w:b/>
          <w:sz w:val="24"/>
          <w:szCs w:val="24"/>
          <w:lang w:eastAsia="ru-RU"/>
        </w:rPr>
        <w:t xml:space="preserve"> товарам (продукции), производимым на </w:t>
      </w:r>
      <w:r>
        <w:rPr>
          <w:b/>
          <w:sz w:val="24"/>
          <w:szCs w:val="24"/>
          <w:lang w:eastAsia="ru-RU"/>
        </w:rPr>
        <w:t>территории Российской Федерации</w:t>
      </w:r>
    </w:p>
    <w:p w:rsidR="00220B3F" w:rsidRPr="00E35205" w:rsidRDefault="00220B3F" w:rsidP="00220B3F">
      <w:pPr>
        <w:ind w:firstLine="708"/>
        <w:rPr>
          <w:b/>
          <w:sz w:val="24"/>
          <w:szCs w:val="24"/>
        </w:rPr>
      </w:pP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CF027D">
        <w:rPr>
          <w:sz w:val="24"/>
          <w:szCs w:val="24"/>
        </w:rPr>
        <w:t>Общая сумма поступления акцизов по подакцизным товарам (продукции), производимым на территории Российской Федерации, в бюджет</w:t>
      </w:r>
      <w:r>
        <w:rPr>
          <w:sz w:val="24"/>
          <w:szCs w:val="24"/>
        </w:rPr>
        <w:t xml:space="preserve"> Томской области</w:t>
      </w:r>
      <w:r w:rsidRPr="00CF027D">
        <w:rPr>
          <w:sz w:val="24"/>
          <w:szCs w:val="24"/>
        </w:rPr>
        <w:t xml:space="preserve"> на 201</w:t>
      </w:r>
      <w:r>
        <w:rPr>
          <w:sz w:val="24"/>
          <w:szCs w:val="24"/>
        </w:rPr>
        <w:t>7</w:t>
      </w:r>
      <w:r w:rsidRPr="00CF027D">
        <w:rPr>
          <w:sz w:val="24"/>
          <w:szCs w:val="24"/>
        </w:rPr>
        <w:t xml:space="preserve"> год прогнозируется в размере</w:t>
      </w:r>
      <w:r>
        <w:rPr>
          <w:sz w:val="24"/>
          <w:szCs w:val="24"/>
        </w:rPr>
        <w:t xml:space="preserve"> 6 853,2</w:t>
      </w:r>
      <w:r w:rsidRPr="00F13AD7">
        <w:rPr>
          <w:sz w:val="24"/>
          <w:szCs w:val="24"/>
        </w:rPr>
        <w:t xml:space="preserve"> </w:t>
      </w:r>
      <w:r w:rsidRPr="00CF027D">
        <w:rPr>
          <w:sz w:val="24"/>
          <w:szCs w:val="24"/>
        </w:rPr>
        <w:t>млн</w:t>
      </w:r>
      <w:r>
        <w:rPr>
          <w:sz w:val="24"/>
          <w:szCs w:val="24"/>
        </w:rPr>
        <w:t xml:space="preserve">. рублей, </w:t>
      </w:r>
      <w:r w:rsidRPr="00F13AD7">
        <w:rPr>
          <w:sz w:val="24"/>
          <w:szCs w:val="24"/>
        </w:rPr>
        <w:t xml:space="preserve">что выше </w:t>
      </w:r>
      <w:r>
        <w:rPr>
          <w:sz w:val="24"/>
          <w:szCs w:val="24"/>
        </w:rPr>
        <w:t>ожидаемого исполнения доходов в 2016 году по данной статье</w:t>
      </w:r>
      <w:r w:rsidRPr="00F13AD7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 117,1 </w:t>
      </w:r>
      <w:r w:rsidRPr="00F13AD7">
        <w:rPr>
          <w:sz w:val="24"/>
          <w:szCs w:val="24"/>
        </w:rPr>
        <w:t>млн.руб.</w:t>
      </w:r>
      <w:r>
        <w:rPr>
          <w:sz w:val="24"/>
          <w:szCs w:val="24"/>
        </w:rPr>
        <w:t>,</w:t>
      </w:r>
      <w:r w:rsidRPr="00F13AD7">
        <w:rPr>
          <w:sz w:val="24"/>
          <w:szCs w:val="24"/>
        </w:rPr>
        <w:t xml:space="preserve"> или на </w:t>
      </w:r>
      <w:r>
        <w:rPr>
          <w:sz w:val="24"/>
          <w:szCs w:val="24"/>
        </w:rPr>
        <w:t>1,7</w:t>
      </w:r>
      <w:r w:rsidRPr="00F13AD7">
        <w:rPr>
          <w:sz w:val="24"/>
          <w:szCs w:val="24"/>
        </w:rPr>
        <w:t>%.</w:t>
      </w:r>
    </w:p>
    <w:p w:rsidR="00220B3F" w:rsidRDefault="00220B3F" w:rsidP="00220B3F">
      <w:pPr>
        <w:ind w:firstLine="709"/>
        <w:rPr>
          <w:sz w:val="24"/>
          <w:szCs w:val="24"/>
        </w:rPr>
      </w:pPr>
      <w:r w:rsidRPr="00F13AD7">
        <w:rPr>
          <w:sz w:val="24"/>
          <w:szCs w:val="24"/>
        </w:rPr>
        <w:t>В 201</w:t>
      </w:r>
      <w:r>
        <w:rPr>
          <w:sz w:val="24"/>
          <w:szCs w:val="24"/>
        </w:rPr>
        <w:t>8</w:t>
      </w:r>
      <w:r w:rsidRPr="00F13AD7">
        <w:rPr>
          <w:sz w:val="24"/>
          <w:szCs w:val="24"/>
        </w:rPr>
        <w:t xml:space="preserve"> году планируется у</w:t>
      </w:r>
      <w:r>
        <w:rPr>
          <w:sz w:val="24"/>
          <w:szCs w:val="24"/>
        </w:rPr>
        <w:t>величение</w:t>
      </w:r>
      <w:r w:rsidRPr="00F13AD7">
        <w:rPr>
          <w:sz w:val="24"/>
          <w:szCs w:val="24"/>
        </w:rPr>
        <w:t xml:space="preserve"> доходов</w:t>
      </w:r>
      <w:r w:rsidRPr="003A5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областного бюджета </w:t>
      </w:r>
      <w:r w:rsidRPr="00F13AD7">
        <w:rPr>
          <w:sz w:val="24"/>
          <w:szCs w:val="24"/>
        </w:rPr>
        <w:t>от уплаты акцизов по сравнению с 201</w:t>
      </w:r>
      <w:r>
        <w:rPr>
          <w:sz w:val="24"/>
          <w:szCs w:val="24"/>
        </w:rPr>
        <w:t>7</w:t>
      </w:r>
      <w:r w:rsidRPr="00F13AD7">
        <w:rPr>
          <w:sz w:val="24"/>
          <w:szCs w:val="24"/>
        </w:rPr>
        <w:t xml:space="preserve"> годом на</w:t>
      </w:r>
      <w:r>
        <w:rPr>
          <w:sz w:val="24"/>
          <w:szCs w:val="24"/>
        </w:rPr>
        <w:t xml:space="preserve"> 273,2 </w:t>
      </w:r>
      <w:r w:rsidRPr="00F13AD7">
        <w:rPr>
          <w:sz w:val="24"/>
          <w:szCs w:val="24"/>
        </w:rPr>
        <w:t>млн.руб.</w:t>
      </w:r>
      <w:r>
        <w:rPr>
          <w:sz w:val="24"/>
          <w:szCs w:val="24"/>
        </w:rPr>
        <w:t xml:space="preserve">, </w:t>
      </w:r>
      <w:r w:rsidRPr="00F13AD7">
        <w:rPr>
          <w:sz w:val="24"/>
          <w:szCs w:val="24"/>
        </w:rPr>
        <w:t>или </w:t>
      </w:r>
      <w:r>
        <w:rPr>
          <w:sz w:val="24"/>
          <w:szCs w:val="24"/>
        </w:rPr>
        <w:t xml:space="preserve">3,9 </w:t>
      </w:r>
      <w:r w:rsidRPr="00F13AD7">
        <w:rPr>
          <w:sz w:val="24"/>
          <w:szCs w:val="24"/>
        </w:rPr>
        <w:t>%, в 201</w:t>
      </w:r>
      <w:r>
        <w:rPr>
          <w:sz w:val="24"/>
          <w:szCs w:val="24"/>
        </w:rPr>
        <w:t>9</w:t>
      </w:r>
      <w:r w:rsidRPr="00F13AD7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планируется увеличение доходов </w:t>
      </w:r>
      <w:r w:rsidRPr="00F13AD7">
        <w:rPr>
          <w:sz w:val="24"/>
          <w:szCs w:val="24"/>
        </w:rPr>
        <w:t>по сравнению с 201</w:t>
      </w:r>
      <w:r>
        <w:rPr>
          <w:sz w:val="24"/>
          <w:szCs w:val="24"/>
        </w:rPr>
        <w:t>8</w:t>
      </w:r>
      <w:r w:rsidRPr="00F13AD7">
        <w:rPr>
          <w:sz w:val="24"/>
          <w:szCs w:val="24"/>
        </w:rPr>
        <w:t xml:space="preserve"> годом на</w:t>
      </w:r>
      <w:r>
        <w:rPr>
          <w:sz w:val="24"/>
          <w:szCs w:val="24"/>
        </w:rPr>
        <w:t xml:space="preserve">  272,5 </w:t>
      </w:r>
      <w:r w:rsidRPr="00F13AD7">
        <w:rPr>
          <w:sz w:val="24"/>
          <w:szCs w:val="24"/>
        </w:rPr>
        <w:t>млн.руб.</w:t>
      </w:r>
      <w:r w:rsidR="00611E7B">
        <w:rPr>
          <w:sz w:val="24"/>
          <w:szCs w:val="24"/>
        </w:rPr>
        <w:t>,</w:t>
      </w:r>
      <w:r w:rsidRPr="00F13AD7">
        <w:rPr>
          <w:sz w:val="24"/>
          <w:szCs w:val="24"/>
        </w:rPr>
        <w:t xml:space="preserve"> или </w:t>
      </w:r>
      <w:r>
        <w:rPr>
          <w:sz w:val="24"/>
          <w:szCs w:val="24"/>
        </w:rPr>
        <w:t>3,8</w:t>
      </w:r>
      <w:r w:rsidRPr="00F13AD7">
        <w:rPr>
          <w:sz w:val="24"/>
          <w:szCs w:val="24"/>
        </w:rPr>
        <w:t>%.</w:t>
      </w:r>
    </w:p>
    <w:p w:rsidR="00220B3F" w:rsidRDefault="00220B3F" w:rsidP="00220B3F">
      <w:pPr>
        <w:ind w:firstLine="709"/>
        <w:rPr>
          <w:sz w:val="24"/>
          <w:szCs w:val="24"/>
        </w:rPr>
      </w:pPr>
      <w:r w:rsidRPr="00F501A0">
        <w:rPr>
          <w:sz w:val="24"/>
          <w:szCs w:val="24"/>
        </w:rPr>
        <w:t>Согласно пояснительной записке прогноз поступления акцизов на 2017-2019 годы рассчитан Администрацией Томской области с учетом ставок, нормативов распределения в бюджеты субъектов Российской Федерации, установленных  Федеральным законом от 14.12.2015 № 359-ФЗ «О федеральном бюджете на 2016 год», а также Федеральным законом «</w:t>
      </w:r>
      <w:r w:rsidRPr="00F501A0">
        <w:rPr>
          <w:bCs/>
          <w:sz w:val="24"/>
          <w:szCs w:val="24"/>
        </w:rPr>
        <w:t>О внесении изменений в Бюджетный кодекс Российской Федерации и статью 6 Федерального закона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F501A0">
        <w:rPr>
          <w:sz w:val="24"/>
          <w:szCs w:val="24"/>
        </w:rPr>
        <w:t>. Также в расчете применен показатель – индекс промышленного производства в РФ по виду деятельности «Производство кокса, нефтепродуктов». Ставки акцизов по автомобильному бензину и дизельному топливу с 2016 года применены по классу-5.</w:t>
      </w:r>
    </w:p>
    <w:p w:rsidR="00220B3F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Фактически расчет произведен с учетом </w:t>
      </w:r>
      <w:r w:rsidRPr="00F501A0">
        <w:rPr>
          <w:sz w:val="24"/>
          <w:szCs w:val="24"/>
        </w:rPr>
        <w:t>индекс</w:t>
      </w:r>
      <w:r>
        <w:rPr>
          <w:sz w:val="24"/>
          <w:szCs w:val="24"/>
        </w:rPr>
        <w:t xml:space="preserve">а </w:t>
      </w:r>
      <w:r w:rsidRPr="00F501A0">
        <w:rPr>
          <w:sz w:val="24"/>
          <w:szCs w:val="24"/>
        </w:rPr>
        <w:t xml:space="preserve">промышленного производства </w:t>
      </w:r>
      <w:r>
        <w:rPr>
          <w:sz w:val="24"/>
          <w:szCs w:val="24"/>
        </w:rPr>
        <w:t>в Томской области</w:t>
      </w:r>
      <w:r w:rsidRPr="00F501A0">
        <w:rPr>
          <w:sz w:val="24"/>
          <w:szCs w:val="24"/>
        </w:rPr>
        <w:t xml:space="preserve"> по виду деятельности «Производство кокса, нефтепродуктов»</w:t>
      </w:r>
      <w:r>
        <w:rPr>
          <w:sz w:val="24"/>
          <w:szCs w:val="24"/>
        </w:rPr>
        <w:t>, который значительно превышает указанный индекс в РФ.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действующими нормативными актами ставки акцизов на 2017 год </w:t>
      </w:r>
      <w:r w:rsidRPr="006A7500">
        <w:rPr>
          <w:sz w:val="24"/>
          <w:szCs w:val="24"/>
        </w:rPr>
        <w:t>на алкогольную продукцию с объемной долей этилового спирта свыше 9 процентов</w:t>
      </w:r>
      <w:r>
        <w:rPr>
          <w:sz w:val="24"/>
          <w:szCs w:val="24"/>
        </w:rPr>
        <w:t xml:space="preserve"> составят </w:t>
      </w:r>
      <w:r w:rsidRPr="006A7500">
        <w:rPr>
          <w:sz w:val="24"/>
          <w:szCs w:val="24"/>
        </w:rPr>
        <w:t>5</w:t>
      </w:r>
      <w:r>
        <w:rPr>
          <w:sz w:val="24"/>
          <w:szCs w:val="24"/>
        </w:rPr>
        <w:t>23</w:t>
      </w:r>
      <w:r w:rsidRPr="006A7500">
        <w:rPr>
          <w:sz w:val="24"/>
          <w:szCs w:val="24"/>
        </w:rPr>
        <w:t xml:space="preserve"> руб. за 1 литр безводного этилового спирта, содержащегося в подакцизной продукции</w:t>
      </w:r>
      <w:r w:rsidR="00611E7B">
        <w:rPr>
          <w:sz w:val="24"/>
          <w:szCs w:val="24"/>
        </w:rPr>
        <w:t>,</w:t>
      </w:r>
      <w:r>
        <w:rPr>
          <w:sz w:val="24"/>
          <w:szCs w:val="24"/>
        </w:rPr>
        <w:t xml:space="preserve"> или выше уровня 2016 года на 4,6%, на вина – 10 руб. за литр и на пиво в размере 21 руб. за литр, рост ставок составит 5-11,1 % к уровню 2016 года. </w:t>
      </w:r>
    </w:p>
    <w:p w:rsidR="00220B3F" w:rsidRDefault="00220B3F" w:rsidP="00220B3F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B5C2E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0B5C2E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0B5C2E">
        <w:rPr>
          <w:sz w:val="24"/>
          <w:szCs w:val="24"/>
        </w:rPr>
        <w:t xml:space="preserve"> доля доходов от акцизов</w:t>
      </w:r>
      <w:r w:rsidRPr="00DA3B87">
        <w:rPr>
          <w:sz w:val="24"/>
          <w:szCs w:val="24"/>
        </w:rPr>
        <w:t>, поступающи</w:t>
      </w:r>
      <w:r>
        <w:rPr>
          <w:sz w:val="24"/>
          <w:szCs w:val="24"/>
        </w:rPr>
        <w:t>х</w:t>
      </w:r>
      <w:r w:rsidRPr="00DA3B87">
        <w:rPr>
          <w:sz w:val="24"/>
          <w:szCs w:val="24"/>
        </w:rPr>
        <w:t xml:space="preserve"> в областной бюджет от уплаты производителями Томской области акцизов</w:t>
      </w:r>
      <w:r w:rsidRPr="00A56EF5">
        <w:rPr>
          <w:sz w:val="24"/>
          <w:szCs w:val="24"/>
        </w:rPr>
        <w:t xml:space="preserve"> </w:t>
      </w:r>
      <w:r w:rsidRPr="000B5C2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A3B87">
        <w:rPr>
          <w:sz w:val="24"/>
          <w:szCs w:val="24"/>
        </w:rPr>
        <w:t>пиво</w:t>
      </w:r>
      <w:r>
        <w:rPr>
          <w:sz w:val="24"/>
          <w:szCs w:val="24"/>
        </w:rPr>
        <w:t xml:space="preserve"> и </w:t>
      </w:r>
      <w:r w:rsidRPr="00DA3B87">
        <w:rPr>
          <w:sz w:val="24"/>
          <w:szCs w:val="24"/>
        </w:rPr>
        <w:t>вина</w:t>
      </w:r>
      <w:r>
        <w:rPr>
          <w:sz w:val="24"/>
          <w:szCs w:val="24"/>
        </w:rPr>
        <w:t xml:space="preserve"> составит 100%, на алкогольную продукцию </w:t>
      </w:r>
      <w:r w:rsidRPr="006A7500">
        <w:rPr>
          <w:sz w:val="24"/>
          <w:szCs w:val="24"/>
        </w:rPr>
        <w:t>с объемной долей этилового спирта свыше 9 процентов</w:t>
      </w:r>
      <w:r>
        <w:rPr>
          <w:sz w:val="24"/>
          <w:szCs w:val="24"/>
        </w:rPr>
        <w:t xml:space="preserve"> – 40%.</w:t>
      </w:r>
    </w:p>
    <w:p w:rsidR="00220B3F" w:rsidRPr="00F501A0" w:rsidRDefault="00220B3F" w:rsidP="00220B3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проектом основных направлений налоговой политики на 2017 год и на плановый период 2018 и 2019 годов (направлен в Правительство РФ и Государственную Думу РФ) (далее - проект основных направлений налоговой политики) ставки акцизов на вина предлагается увеличить в 2017 году до 18 руб. за литр. 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Расчет поступлений акцизов в бюджет Томской области в 2017 году рассчитан Администрацией Томской области исходя из следующих объемов производства: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- алкогольной продукции – 751 тыс.дкл;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- вина – 340 тыс.дкл;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- пива – 18 300 тыс.дкл.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Согласно информации Департамента потребительского рынка Администрации Томской области по состоянию на 10.10.2016 прогнозные объемы производства алкогольной продукции, вин и пива томскими производителями в 2017 году составят: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- алкогольная продукция – 150 тыс.дкл;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- вина – 340 тыс.дкл;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- пива – 18 000 тыс.дкл.</w:t>
      </w:r>
    </w:p>
    <w:p w:rsidR="00220B3F" w:rsidRDefault="00220B3F" w:rsidP="00220B3F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Контрольно-счетной палатой произведен расчет с учетом основных направлений налоговой политики и планируемых объемов производства алкогольной продукции, вина и пива производителями Томской области по данным Департамента потребительского рынка Администрации Томской области. Расчетно сумма поступлений в 2017 году может составить 3 941,3 млн.руб.</w:t>
      </w:r>
      <w:r w:rsidR="00611E7B">
        <w:rPr>
          <w:sz w:val="24"/>
          <w:szCs w:val="24"/>
        </w:rPr>
        <w:t>,</w:t>
      </w:r>
      <w:r>
        <w:rPr>
          <w:sz w:val="24"/>
          <w:szCs w:val="24"/>
        </w:rPr>
        <w:t xml:space="preserve"> или </w:t>
      </w:r>
      <w:r w:rsidRPr="00D858B0">
        <w:rPr>
          <w:b/>
          <w:sz w:val="24"/>
          <w:szCs w:val="24"/>
        </w:rPr>
        <w:t>на 436 млн.руб. меньше, чем указано в законопроекте</w:t>
      </w:r>
      <w:r>
        <w:rPr>
          <w:sz w:val="24"/>
          <w:szCs w:val="24"/>
        </w:rPr>
        <w:t>, в том числе:</w:t>
      </w:r>
    </w:p>
    <w:p w:rsidR="00220B3F" w:rsidRDefault="00220B3F" w:rsidP="00220B3F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1DA1">
        <w:rPr>
          <w:sz w:val="24"/>
          <w:szCs w:val="24"/>
        </w:rPr>
        <w:t xml:space="preserve">на </w:t>
      </w:r>
      <w:r>
        <w:rPr>
          <w:sz w:val="24"/>
          <w:szCs w:val="24"/>
        </w:rPr>
        <w:t>алкогольную продукцию свыше 9% – 99,9 млн.руб.;</w:t>
      </w:r>
    </w:p>
    <w:p w:rsidR="00220B3F" w:rsidRDefault="00220B3F" w:rsidP="00220B3F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- на вина – 61,1 млн. руб.;</w:t>
      </w:r>
    </w:p>
    <w:p w:rsidR="00220B3F" w:rsidRDefault="00220B3F" w:rsidP="00220B3F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на пиво – 3 780,3 млн.руб. </w:t>
      </w:r>
    </w:p>
    <w:p w:rsidR="00220B3F" w:rsidRDefault="00220B3F" w:rsidP="00220B3F">
      <w:pPr>
        <w:pStyle w:val="aff0"/>
        <w:spacing w:after="0"/>
        <w:ind w:firstLine="709"/>
        <w:jc w:val="both"/>
      </w:pPr>
      <w:r>
        <w:t>По состоянию на 01.10.2016 поступления от уплаты акцизов на алкогольную продукцию свыше 9 % в бюджет Томской области были равны нулю.</w:t>
      </w:r>
    </w:p>
    <w:p w:rsidR="00220B3F" w:rsidRDefault="00220B3F" w:rsidP="00220B3F">
      <w:pPr>
        <w:pStyle w:val="aff0"/>
        <w:spacing w:after="0"/>
        <w:ind w:firstLine="708"/>
        <w:jc w:val="both"/>
      </w:pPr>
      <w:r>
        <w:t>С учетом изложенного, реалистичность объема поступлений в 2017 году по данному доходному источнику требует дополнительного рассмотрения.</w:t>
      </w:r>
    </w:p>
    <w:p w:rsidR="00220B3F" w:rsidRDefault="00220B3F" w:rsidP="00220B3F">
      <w:pPr>
        <w:pStyle w:val="aff0"/>
        <w:spacing w:after="0"/>
        <w:ind w:firstLine="708"/>
        <w:jc w:val="both"/>
        <w:rPr>
          <w:color w:val="000000"/>
          <w:spacing w:val="-5"/>
        </w:rPr>
      </w:pPr>
      <w:r>
        <w:t>В соответствии с основными направлениями налоговой политики</w:t>
      </w:r>
      <w:r w:rsidRPr="00725518">
        <w:t xml:space="preserve"> </w:t>
      </w:r>
      <w:r w:rsidRPr="00F13AD7">
        <w:t>ставк</w:t>
      </w:r>
      <w:r>
        <w:t xml:space="preserve">и </w:t>
      </w:r>
      <w:r w:rsidRPr="00F13AD7">
        <w:t xml:space="preserve">акцизов на бензин </w:t>
      </w:r>
      <w:r>
        <w:t>(класс 5) и прямогонный бензин в 2017 году останутся на уровне 2016 года, на дизельное топливо и средние дистилляты увеличатся, при этом увеличение составит</w:t>
      </w:r>
      <w:r>
        <w:rPr>
          <w:color w:val="000000"/>
          <w:spacing w:val="-5"/>
        </w:rPr>
        <w:t xml:space="preserve"> на дизельное топливо 40%, на средние дистилляты </w:t>
      </w:r>
      <w:r w:rsidR="005559BF">
        <w:rPr>
          <w:color w:val="000000"/>
          <w:spacing w:val="-5"/>
        </w:rPr>
        <w:t xml:space="preserve">- </w:t>
      </w:r>
      <w:r>
        <w:rPr>
          <w:color w:val="000000"/>
          <w:spacing w:val="-5"/>
        </w:rPr>
        <w:t>59%. На моторные масла ставк</w:t>
      </w:r>
      <w:r w:rsidR="005559BF">
        <w:rPr>
          <w:color w:val="000000"/>
          <w:spacing w:val="-5"/>
        </w:rPr>
        <w:t>а</w:t>
      </w:r>
      <w:r>
        <w:rPr>
          <w:color w:val="000000"/>
          <w:spacing w:val="-5"/>
        </w:rPr>
        <w:t xml:space="preserve"> акцизов снизится на 10%. В 2018-2019 годах ставки акцизов на автомобильный бензин, дизельное топливо, моторные масла и средние дистилляты увеличатся в среднем на 4%, на прямогонный бензин останутся на уровне 2017 года.</w:t>
      </w:r>
    </w:p>
    <w:p w:rsidR="00220B3F" w:rsidRDefault="00220B3F" w:rsidP="00220B3F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проектом федерального закона «О федеральном бюджете на 2017 год и на плановый период 2018 и 2018 годов» </w:t>
      </w:r>
      <w:r w:rsidRPr="00DA3B87">
        <w:rPr>
          <w:sz w:val="24"/>
          <w:szCs w:val="24"/>
        </w:rPr>
        <w:t xml:space="preserve">норматив </w:t>
      </w:r>
      <w:r>
        <w:rPr>
          <w:sz w:val="24"/>
          <w:szCs w:val="24"/>
        </w:rPr>
        <w:t xml:space="preserve">распределения </w:t>
      </w:r>
      <w:r w:rsidRPr="00DA3B87">
        <w:rPr>
          <w:sz w:val="24"/>
          <w:szCs w:val="24"/>
        </w:rPr>
        <w:t>от уплаты акцизов</w:t>
      </w:r>
      <w:r w:rsidRPr="009C342F">
        <w:rPr>
          <w:sz w:val="24"/>
          <w:szCs w:val="24"/>
        </w:rPr>
        <w:t xml:space="preserve"> </w:t>
      </w:r>
      <w:r w:rsidRPr="000B5C2E">
        <w:rPr>
          <w:sz w:val="24"/>
          <w:szCs w:val="24"/>
        </w:rPr>
        <w:t xml:space="preserve">на нефтепродукты </w:t>
      </w:r>
      <w:r w:rsidRPr="00DA3B87">
        <w:rPr>
          <w:sz w:val="24"/>
          <w:szCs w:val="24"/>
        </w:rPr>
        <w:t xml:space="preserve">для Томской области </w:t>
      </w:r>
      <w:r>
        <w:rPr>
          <w:sz w:val="24"/>
          <w:szCs w:val="24"/>
        </w:rPr>
        <w:t xml:space="preserve">составит в 2017-2019 годах - </w:t>
      </w:r>
      <w:r w:rsidRPr="000B5C2E">
        <w:rPr>
          <w:sz w:val="24"/>
          <w:szCs w:val="24"/>
        </w:rPr>
        <w:t>0,</w:t>
      </w:r>
      <w:r>
        <w:rPr>
          <w:sz w:val="24"/>
          <w:szCs w:val="24"/>
        </w:rPr>
        <w:t>6298 %.</w:t>
      </w:r>
    </w:p>
    <w:p w:rsidR="00220B3F" w:rsidRDefault="00220B3F" w:rsidP="00220B3F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расчету Контрольно-счетной палаты с учетом ожидаемого исполнения в 2016 году и предлагаемых изменений федерального законодательства поступление </w:t>
      </w:r>
      <w:r w:rsidRPr="00947ED8">
        <w:rPr>
          <w:sz w:val="24"/>
          <w:szCs w:val="24"/>
        </w:rPr>
        <w:t>по акцизам на нефтепродукты в 201</w:t>
      </w:r>
      <w:r>
        <w:rPr>
          <w:sz w:val="24"/>
          <w:szCs w:val="24"/>
        </w:rPr>
        <w:t>7</w:t>
      </w:r>
      <w:r w:rsidRPr="00947ED8">
        <w:rPr>
          <w:sz w:val="24"/>
          <w:szCs w:val="24"/>
        </w:rPr>
        <w:t xml:space="preserve"> году в доход областного бюджета </w:t>
      </w:r>
      <w:r>
        <w:rPr>
          <w:sz w:val="24"/>
          <w:szCs w:val="24"/>
        </w:rPr>
        <w:t xml:space="preserve">может </w:t>
      </w:r>
      <w:r w:rsidRPr="00947ED8">
        <w:rPr>
          <w:sz w:val="24"/>
          <w:szCs w:val="24"/>
        </w:rPr>
        <w:t>составит</w:t>
      </w:r>
      <w:r>
        <w:rPr>
          <w:sz w:val="24"/>
          <w:szCs w:val="24"/>
        </w:rPr>
        <w:t xml:space="preserve">ь 3 300 </w:t>
      </w:r>
      <w:r w:rsidRPr="00947ED8">
        <w:rPr>
          <w:sz w:val="24"/>
          <w:szCs w:val="24"/>
        </w:rPr>
        <w:t>млн.руб., в 201</w:t>
      </w:r>
      <w:r>
        <w:rPr>
          <w:sz w:val="24"/>
          <w:szCs w:val="24"/>
        </w:rPr>
        <w:t>8</w:t>
      </w:r>
      <w:r w:rsidRPr="00947ED8">
        <w:rPr>
          <w:sz w:val="24"/>
          <w:szCs w:val="24"/>
        </w:rPr>
        <w:t xml:space="preserve"> году –</w:t>
      </w:r>
      <w:r>
        <w:rPr>
          <w:sz w:val="24"/>
          <w:szCs w:val="24"/>
        </w:rPr>
        <w:t xml:space="preserve"> 3 500,7 </w:t>
      </w:r>
      <w:r w:rsidRPr="00947ED8">
        <w:rPr>
          <w:sz w:val="24"/>
          <w:szCs w:val="24"/>
        </w:rPr>
        <w:t>млн.руб., в 201</w:t>
      </w:r>
      <w:r>
        <w:rPr>
          <w:sz w:val="24"/>
          <w:szCs w:val="24"/>
        </w:rPr>
        <w:t>9</w:t>
      </w:r>
      <w:r w:rsidRPr="00947ED8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– 3 720,2 </w:t>
      </w:r>
      <w:r w:rsidRPr="00947ED8">
        <w:rPr>
          <w:sz w:val="24"/>
          <w:szCs w:val="24"/>
        </w:rPr>
        <w:t>млн.руб.</w:t>
      </w:r>
      <w:r>
        <w:rPr>
          <w:sz w:val="24"/>
          <w:szCs w:val="24"/>
        </w:rPr>
        <w:t xml:space="preserve">, что </w:t>
      </w:r>
      <w:r w:rsidRPr="00D858B0">
        <w:rPr>
          <w:b/>
          <w:sz w:val="24"/>
          <w:szCs w:val="24"/>
        </w:rPr>
        <w:t>на 824 млн.руб. больше предложенных в законопроекте на 2017 год</w:t>
      </w:r>
      <w:r>
        <w:rPr>
          <w:sz w:val="24"/>
          <w:szCs w:val="24"/>
        </w:rPr>
        <w:t>, в 2018 году – на 953,4 млн.руб. больше, в 2019 году – на  1068,9 млн.руб. больше.</w:t>
      </w:r>
    </w:p>
    <w:p w:rsidR="00220B3F" w:rsidRPr="004A4F4D" w:rsidRDefault="00220B3F" w:rsidP="00220B3F">
      <w:pPr>
        <w:pStyle w:val="aff0"/>
        <w:spacing w:after="0"/>
        <w:ind w:firstLine="708"/>
        <w:jc w:val="both"/>
        <w:rPr>
          <w:b/>
        </w:rPr>
      </w:pPr>
      <w:r>
        <w:t xml:space="preserve">Исходя из изложенного, </w:t>
      </w:r>
      <w:r w:rsidRPr="004A4F4D">
        <w:rPr>
          <w:b/>
        </w:rPr>
        <w:t>прогноз поступлений в 2017-2019 годах в доход областного бюджета акцизов по подакцизным товарам (продукции), производимым на территории Российской Федерации, подлежит корректировке.</w:t>
      </w:r>
    </w:p>
    <w:p w:rsidR="00220B3F" w:rsidRDefault="00220B3F" w:rsidP="00220B3F">
      <w:pPr>
        <w:tabs>
          <w:tab w:val="left" w:pos="1185"/>
        </w:tabs>
        <w:rPr>
          <w:b/>
          <w:sz w:val="24"/>
          <w:szCs w:val="24"/>
        </w:rPr>
      </w:pPr>
    </w:p>
    <w:p w:rsidR="00220B3F" w:rsidRDefault="00220B3F" w:rsidP="00220B3F">
      <w:pPr>
        <w:tabs>
          <w:tab w:val="left" w:pos="0"/>
        </w:tabs>
        <w:ind w:firstLine="709"/>
        <w:rPr>
          <w:b/>
          <w:sz w:val="24"/>
          <w:szCs w:val="24"/>
        </w:rPr>
      </w:pPr>
      <w:r w:rsidRPr="0080511E">
        <w:rPr>
          <w:b/>
          <w:sz w:val="24"/>
          <w:szCs w:val="24"/>
        </w:rPr>
        <w:t>5.4.</w:t>
      </w:r>
      <w:r>
        <w:rPr>
          <w:b/>
          <w:sz w:val="24"/>
          <w:szCs w:val="24"/>
        </w:rPr>
        <w:t xml:space="preserve"> Налог на имущество организаций</w:t>
      </w:r>
    </w:p>
    <w:p w:rsidR="00220B3F" w:rsidRDefault="00220B3F" w:rsidP="00220B3F">
      <w:pPr>
        <w:tabs>
          <w:tab w:val="left" w:pos="0"/>
        </w:tabs>
        <w:ind w:firstLine="709"/>
        <w:rPr>
          <w:b/>
          <w:sz w:val="24"/>
          <w:szCs w:val="24"/>
        </w:rPr>
      </w:pPr>
    </w:p>
    <w:p w:rsidR="00220B3F" w:rsidRPr="00627019" w:rsidRDefault="00220B3F" w:rsidP="00220B3F">
      <w:pPr>
        <w:tabs>
          <w:tab w:val="left" w:pos="720"/>
        </w:tabs>
        <w:rPr>
          <w:sz w:val="24"/>
          <w:szCs w:val="24"/>
        </w:rPr>
      </w:pPr>
      <w:r w:rsidRPr="00627019">
        <w:rPr>
          <w:sz w:val="24"/>
          <w:szCs w:val="24"/>
        </w:rPr>
        <w:t>Ожидаемое исполнение областного бюджета в 2016 году по налогу на имущество организаций по оценке Администрации составит 5 577,7 млн.руб., темп роста к уровню 2015 года – 101,5 %, в сопоставимых ценах – 94,4%.</w:t>
      </w:r>
    </w:p>
    <w:p w:rsidR="00220B3F" w:rsidRPr="00627019" w:rsidRDefault="00220B3F" w:rsidP="00220B3F">
      <w:pPr>
        <w:ind w:firstLine="708"/>
        <w:rPr>
          <w:sz w:val="24"/>
          <w:szCs w:val="24"/>
        </w:rPr>
      </w:pPr>
      <w:r w:rsidRPr="00627019">
        <w:rPr>
          <w:sz w:val="24"/>
          <w:szCs w:val="24"/>
        </w:rPr>
        <w:t>В материалах и документах к законопроекту поступление налога на имущество организаций в областной бюджет прогнозируется в следующих объемах:</w:t>
      </w:r>
    </w:p>
    <w:p w:rsidR="00220B3F" w:rsidRPr="00627019" w:rsidRDefault="00220B3F" w:rsidP="00220B3F">
      <w:pPr>
        <w:rPr>
          <w:sz w:val="24"/>
          <w:szCs w:val="24"/>
        </w:rPr>
      </w:pPr>
      <w:r w:rsidRPr="00627019">
        <w:rPr>
          <w:sz w:val="24"/>
          <w:szCs w:val="24"/>
        </w:rPr>
        <w:t>- 5 921,1 млн.руб. в 2017 году, с темпом роста 106,5 %, в сопоставимых ценах – 100,9 %;</w:t>
      </w:r>
    </w:p>
    <w:p w:rsidR="00220B3F" w:rsidRPr="00627019" w:rsidRDefault="00220B3F" w:rsidP="00220B3F">
      <w:pPr>
        <w:rPr>
          <w:sz w:val="24"/>
          <w:szCs w:val="24"/>
        </w:rPr>
      </w:pPr>
      <w:r w:rsidRPr="00627019">
        <w:rPr>
          <w:sz w:val="24"/>
          <w:szCs w:val="24"/>
        </w:rPr>
        <w:t>- 6 091,7 млн.руб. в 2018 году, с темпом роста 102,9 %, в сопоставимых ценах – 98,5 %;</w:t>
      </w:r>
    </w:p>
    <w:p w:rsidR="00220B3F" w:rsidRPr="00627019" w:rsidRDefault="00220B3F" w:rsidP="00220B3F">
      <w:pPr>
        <w:tabs>
          <w:tab w:val="left" w:pos="720"/>
        </w:tabs>
        <w:rPr>
          <w:sz w:val="24"/>
          <w:szCs w:val="24"/>
        </w:rPr>
      </w:pPr>
      <w:r w:rsidRPr="00627019">
        <w:rPr>
          <w:sz w:val="24"/>
          <w:szCs w:val="24"/>
        </w:rPr>
        <w:t>- 6 271,6 млн.руб. в 2019 году, с темпом роста 103 %, в сопоставимых ценах – 98,5 %.</w:t>
      </w:r>
    </w:p>
    <w:p w:rsidR="00220B3F" w:rsidRPr="00627019" w:rsidRDefault="00220B3F" w:rsidP="00220B3F">
      <w:pPr>
        <w:pStyle w:val="aff"/>
        <w:spacing w:before="0" w:beforeAutospacing="0" w:after="0" w:afterAutospacing="0"/>
        <w:ind w:firstLine="708"/>
        <w:jc w:val="both"/>
      </w:pPr>
      <w:r w:rsidRPr="00627019">
        <w:t xml:space="preserve">Доля налога на имущество организаций в объеме собственных доходов областного бюджета в 2016 году прогнозируется Администрацией в размере 13,3%, со снижением в 2017-2019 годах до 12,3 %, 12,5 % и 12,4 % соответственно (диаграмма </w:t>
      </w:r>
      <w:r>
        <w:t>6</w:t>
      </w:r>
      <w:r w:rsidRPr="00627019">
        <w:t>).</w:t>
      </w:r>
    </w:p>
    <w:p w:rsidR="00220B3F" w:rsidRPr="00627019" w:rsidRDefault="00220B3F" w:rsidP="00220B3F">
      <w:pPr>
        <w:tabs>
          <w:tab w:val="left" w:pos="720"/>
        </w:tabs>
        <w:jc w:val="right"/>
        <w:rPr>
          <w:sz w:val="24"/>
          <w:szCs w:val="24"/>
        </w:rPr>
      </w:pPr>
      <w:r w:rsidRPr="00627019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д</w:t>
      </w:r>
      <w:r w:rsidRPr="00627019">
        <w:rPr>
          <w:sz w:val="24"/>
          <w:szCs w:val="24"/>
        </w:rPr>
        <w:t xml:space="preserve">иаграмма </w:t>
      </w:r>
      <w:r>
        <w:rPr>
          <w:sz w:val="24"/>
          <w:szCs w:val="24"/>
        </w:rPr>
        <w:t>6</w:t>
      </w:r>
    </w:p>
    <w:p w:rsidR="00220B3F" w:rsidRDefault="00220B3F" w:rsidP="00220B3F">
      <w:pPr>
        <w:tabs>
          <w:tab w:val="left" w:pos="720"/>
        </w:tabs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144770" cy="2595880"/>
            <wp:effectExtent l="0" t="0" r="17780" b="139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0B3F" w:rsidRDefault="00220B3F" w:rsidP="00220B3F">
      <w:pPr>
        <w:ind w:right="-1" w:firstLine="709"/>
        <w:rPr>
          <w:sz w:val="24"/>
          <w:szCs w:val="24"/>
        </w:rPr>
      </w:pPr>
    </w:p>
    <w:p w:rsidR="00220B3F" w:rsidRPr="00627019" w:rsidRDefault="00220B3F" w:rsidP="00220B3F">
      <w:pPr>
        <w:ind w:right="-1" w:firstLine="709"/>
        <w:rPr>
          <w:sz w:val="24"/>
          <w:szCs w:val="24"/>
        </w:rPr>
      </w:pPr>
      <w:r w:rsidRPr="00627019">
        <w:rPr>
          <w:sz w:val="24"/>
          <w:szCs w:val="24"/>
        </w:rPr>
        <w:t xml:space="preserve">Расчет прогноза поступлений налога на имущество организаций на 2017-2019 годы произведен </w:t>
      </w:r>
      <w:r w:rsidRPr="00627019">
        <w:rPr>
          <w:color w:val="000000"/>
          <w:sz w:val="24"/>
          <w:szCs w:val="24"/>
        </w:rPr>
        <w:t>Администрацией</w:t>
      </w:r>
      <w:r w:rsidRPr="00627019">
        <w:rPr>
          <w:sz w:val="24"/>
          <w:szCs w:val="24"/>
        </w:rPr>
        <w:t xml:space="preserve"> на основании отчета Управления Федеральной налоговой службы России по Томской области о налогооблагаемой базе за 2015 год (отчет 5-НИО), данных прогноза социально-экономического развития Томской области на 2017-2019 годы о суммах инвестиций в основной капитал, создаваемой стоимости основных средств и стоимости ликвидированных основных средств за год, а также с учетом поэтапной отмены льготы, установленной федеральным законодательством (в отношении имущества магистральных трубопроводов, линий энергопередачи, железнодорожных путей общего пользования). В расчете на 2017-2019 годы учтена стоимость имущества, льготируемого в соответствии с законодательством РФ и Томской области, а также дополнительные поступления от налогообложения объектов, которые облагаются налогом исходя из их кадастровой стоимости. </w:t>
      </w:r>
    </w:p>
    <w:p w:rsidR="00220B3F" w:rsidRPr="00D032E6" w:rsidRDefault="00220B3F" w:rsidP="00220B3F">
      <w:pPr>
        <w:ind w:firstLine="540"/>
        <w:rPr>
          <w:sz w:val="24"/>
          <w:szCs w:val="24"/>
        </w:rPr>
      </w:pPr>
      <w:r w:rsidRPr="00627019">
        <w:rPr>
          <w:sz w:val="24"/>
          <w:szCs w:val="24"/>
        </w:rPr>
        <w:tab/>
        <w:t>При этом указаны риски возможного снижения прогнозных поступлений по налогу на имущество организаций в 2017 год</w:t>
      </w:r>
      <w:r>
        <w:rPr>
          <w:sz w:val="24"/>
          <w:szCs w:val="24"/>
        </w:rPr>
        <w:t xml:space="preserve">у в сумме </w:t>
      </w:r>
      <w:r w:rsidR="005559BF">
        <w:rPr>
          <w:sz w:val="24"/>
          <w:szCs w:val="24"/>
        </w:rPr>
        <w:t>около</w:t>
      </w:r>
      <w:r>
        <w:rPr>
          <w:sz w:val="24"/>
          <w:szCs w:val="24"/>
        </w:rPr>
        <w:t xml:space="preserve"> 77 млн.руб. в</w:t>
      </w:r>
      <w:r w:rsidRPr="00627019">
        <w:rPr>
          <w:sz w:val="24"/>
          <w:szCs w:val="24"/>
        </w:rPr>
        <w:t xml:space="preserve"> связи с увеличением порогового значения выручки (с 60 млн. рублей в год до 120 млн. рублей в год) для применения упрощенной системы налогообложения, что позволит налогоплательщикам, находящимся на общеустановленной системе налогообложения</w:t>
      </w:r>
      <w:r w:rsidR="005559BF">
        <w:rPr>
          <w:sz w:val="24"/>
          <w:szCs w:val="24"/>
        </w:rPr>
        <w:t xml:space="preserve">, </w:t>
      </w:r>
      <w:r w:rsidRPr="00627019">
        <w:rPr>
          <w:sz w:val="24"/>
          <w:szCs w:val="24"/>
        </w:rPr>
        <w:t xml:space="preserve">перейти на упрощенную систему. </w:t>
      </w:r>
      <w:r w:rsidRPr="00627019">
        <w:rPr>
          <w:bCs/>
          <w:sz w:val="24"/>
          <w:szCs w:val="24"/>
        </w:rPr>
        <w:t xml:space="preserve">Кроме того, с 2017 года в </w:t>
      </w:r>
      <w:r>
        <w:rPr>
          <w:bCs/>
          <w:sz w:val="24"/>
          <w:szCs w:val="24"/>
        </w:rPr>
        <w:t>1,5</w:t>
      </w:r>
      <w:r w:rsidRPr="00627019">
        <w:rPr>
          <w:bCs/>
          <w:sz w:val="24"/>
          <w:szCs w:val="24"/>
        </w:rPr>
        <w:t xml:space="preserve"> раза повышается </w:t>
      </w:r>
      <w:hyperlink r:id="rId16" w:history="1">
        <w:r w:rsidRPr="00627019">
          <w:rPr>
            <w:bCs/>
            <w:sz w:val="24"/>
            <w:szCs w:val="24"/>
          </w:rPr>
          <w:t>предельная величина</w:t>
        </w:r>
      </w:hyperlink>
      <w:r w:rsidRPr="00627019">
        <w:rPr>
          <w:bCs/>
          <w:sz w:val="24"/>
          <w:szCs w:val="24"/>
        </w:rPr>
        <w:t xml:space="preserve"> остаточной стоимости основных средств (со </w:t>
      </w:r>
      <w:hyperlink r:id="rId17" w:history="1">
        <w:r w:rsidRPr="00627019">
          <w:rPr>
            <w:bCs/>
            <w:sz w:val="24"/>
            <w:szCs w:val="24"/>
          </w:rPr>
          <w:t>100 млн руб</w:t>
        </w:r>
      </w:hyperlink>
      <w:r w:rsidRPr="00627019">
        <w:rPr>
          <w:bCs/>
          <w:sz w:val="24"/>
          <w:szCs w:val="24"/>
        </w:rPr>
        <w:t>. до 150 млн.руб.), исчерпав который налогоплательщики не могут применять УСН.</w:t>
      </w:r>
    </w:p>
    <w:p w:rsidR="00220B3F" w:rsidRPr="00627019" w:rsidRDefault="00220B3F" w:rsidP="00220B3F">
      <w:pPr>
        <w:tabs>
          <w:tab w:val="left" w:pos="720"/>
        </w:tabs>
        <w:rPr>
          <w:sz w:val="24"/>
          <w:szCs w:val="24"/>
        </w:rPr>
      </w:pPr>
      <w:r w:rsidRPr="00627019">
        <w:rPr>
          <w:sz w:val="24"/>
          <w:szCs w:val="24"/>
        </w:rPr>
        <w:tab/>
        <w:t>На формирование налоговой базы значительное влияние оказывает уровень инвестиционной активности, темп роста которой с 2013 года не под</w:t>
      </w:r>
      <w:r>
        <w:rPr>
          <w:sz w:val="24"/>
          <w:szCs w:val="24"/>
        </w:rPr>
        <w:t>нимается выше 96 %. На этом фоне</w:t>
      </w:r>
      <w:r w:rsidRPr="00627019">
        <w:rPr>
          <w:sz w:val="24"/>
          <w:szCs w:val="24"/>
        </w:rPr>
        <w:t>, а также с учетом планов на незначительный рост прибыли прибыльных организаций и темпов роста производства</w:t>
      </w:r>
      <w:r w:rsidR="005559BF">
        <w:rPr>
          <w:sz w:val="24"/>
          <w:szCs w:val="24"/>
        </w:rPr>
        <w:t xml:space="preserve">, </w:t>
      </w:r>
      <w:r w:rsidRPr="00627019">
        <w:rPr>
          <w:sz w:val="24"/>
          <w:szCs w:val="24"/>
        </w:rPr>
        <w:t>планируемый Администрацией темп роста инвестиций в сопоставимых ценах на период 2017-2019 гг. в размере 100,1 %-100,4 % выглядит достаточно оптимистично.</w:t>
      </w:r>
    </w:p>
    <w:p w:rsidR="00220B3F" w:rsidRPr="00D032E6" w:rsidRDefault="00220B3F" w:rsidP="00220B3F">
      <w:pPr>
        <w:tabs>
          <w:tab w:val="left" w:pos="720"/>
        </w:tabs>
        <w:rPr>
          <w:sz w:val="24"/>
          <w:szCs w:val="24"/>
        </w:rPr>
      </w:pPr>
      <w:r w:rsidRPr="00627019">
        <w:rPr>
          <w:sz w:val="24"/>
          <w:szCs w:val="24"/>
        </w:rPr>
        <w:tab/>
        <w:t>Контрольно-счетной палатой проведен анализ критериев и факторов, оказывающих влияние на формирование прогнозных значений поступления налога на имущество организаций на 2017-2019 годы.</w:t>
      </w:r>
      <w:r>
        <w:rPr>
          <w:sz w:val="24"/>
          <w:szCs w:val="24"/>
        </w:rPr>
        <w:t xml:space="preserve"> </w:t>
      </w:r>
      <w:r w:rsidRPr="00627019">
        <w:rPr>
          <w:sz w:val="24"/>
          <w:szCs w:val="24"/>
        </w:rPr>
        <w:t xml:space="preserve">Так, сравнение данных отчетов </w:t>
      </w:r>
      <w:r w:rsidRPr="00627019">
        <w:rPr>
          <w:color w:val="000000"/>
          <w:sz w:val="24"/>
          <w:szCs w:val="24"/>
        </w:rPr>
        <w:t>УФНС России по Томской области о налогооблагаемой базе и структуре начислений налога на имущество организаций за 2011-2015 годы (отчет 5-НИО) показало положительную динамику до 2013 года по налоговой базе и снижение темпа роста налога, поступившего в бюджет в 2012-2014 гг., при одновременном снижении суммы налога, не поступившего в бюджет в связи с предоставлением налоговых льгот.</w:t>
      </w:r>
    </w:p>
    <w:p w:rsidR="00220B3F" w:rsidRPr="00627019" w:rsidRDefault="00220B3F" w:rsidP="00220B3F">
      <w:pPr>
        <w:tabs>
          <w:tab w:val="left" w:pos="720"/>
        </w:tabs>
        <w:rPr>
          <w:sz w:val="24"/>
          <w:szCs w:val="24"/>
        </w:rPr>
      </w:pPr>
      <w:r w:rsidRPr="00627019">
        <w:rPr>
          <w:color w:val="000000"/>
          <w:sz w:val="24"/>
          <w:szCs w:val="24"/>
        </w:rPr>
        <w:tab/>
      </w:r>
      <w:r w:rsidRPr="00627019">
        <w:rPr>
          <w:sz w:val="24"/>
          <w:szCs w:val="24"/>
        </w:rPr>
        <w:t xml:space="preserve">Сопоставление темпов роста инвестиций, налоговой базы и налога на имущество организаций (диаграмма </w:t>
      </w:r>
      <w:r>
        <w:rPr>
          <w:sz w:val="24"/>
          <w:szCs w:val="24"/>
        </w:rPr>
        <w:t>7)</w:t>
      </w:r>
      <w:r w:rsidRPr="00627019">
        <w:rPr>
          <w:sz w:val="24"/>
          <w:szCs w:val="24"/>
        </w:rPr>
        <w:t xml:space="preserve"> показало следующее. </w:t>
      </w:r>
    </w:p>
    <w:p w:rsidR="00220B3F" w:rsidRPr="00627019" w:rsidRDefault="00220B3F" w:rsidP="00220B3F">
      <w:pPr>
        <w:tabs>
          <w:tab w:val="left" w:pos="720"/>
        </w:tabs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д</w:t>
      </w:r>
      <w:r w:rsidRPr="00627019">
        <w:rPr>
          <w:sz w:val="24"/>
          <w:szCs w:val="24"/>
        </w:rPr>
        <w:t xml:space="preserve">иаграмма </w:t>
      </w:r>
      <w:r>
        <w:rPr>
          <w:sz w:val="24"/>
          <w:szCs w:val="24"/>
        </w:rPr>
        <w:t>7</w:t>
      </w:r>
    </w:p>
    <w:p w:rsidR="00220B3F" w:rsidRPr="00627019" w:rsidRDefault="00220B3F" w:rsidP="00220B3F">
      <w:pPr>
        <w:tabs>
          <w:tab w:val="left" w:pos="720"/>
        </w:tabs>
        <w:ind w:firstLine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68720" cy="3315970"/>
            <wp:effectExtent l="0" t="0" r="17780" b="177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0B3F" w:rsidRDefault="00220B3F" w:rsidP="00220B3F">
      <w:pPr>
        <w:tabs>
          <w:tab w:val="left" w:pos="0"/>
        </w:tabs>
      </w:pPr>
      <w:r>
        <w:tab/>
      </w:r>
    </w:p>
    <w:p w:rsidR="00220B3F" w:rsidRPr="00627019" w:rsidRDefault="00220B3F" w:rsidP="00220B3F">
      <w:pPr>
        <w:tabs>
          <w:tab w:val="left" w:pos="0"/>
        </w:tabs>
        <w:ind w:firstLine="720"/>
        <w:rPr>
          <w:sz w:val="24"/>
          <w:szCs w:val="24"/>
        </w:rPr>
      </w:pPr>
      <w:r w:rsidRPr="00627019">
        <w:rPr>
          <w:sz w:val="24"/>
          <w:szCs w:val="24"/>
        </w:rPr>
        <w:t>Критичная оценка социально-экономического развития области, в т.ч. в сфере оборота финансовых ресурсов</w:t>
      </w:r>
      <w:r>
        <w:rPr>
          <w:sz w:val="24"/>
          <w:szCs w:val="24"/>
        </w:rPr>
        <w:t>,</w:t>
      </w:r>
      <w:r w:rsidRPr="00627019">
        <w:rPr>
          <w:sz w:val="24"/>
          <w:szCs w:val="24"/>
        </w:rPr>
        <w:t xml:space="preserve"> позволяет предположить на 2017 год замедление инвестиционной активности, сокращение налоговой базы и</w:t>
      </w:r>
      <w:r>
        <w:rPr>
          <w:sz w:val="24"/>
          <w:szCs w:val="24"/>
        </w:rPr>
        <w:t>,</w:t>
      </w:r>
      <w:r w:rsidRPr="00627019">
        <w:rPr>
          <w:sz w:val="24"/>
          <w:szCs w:val="24"/>
        </w:rPr>
        <w:t xml:space="preserve"> как следствие</w:t>
      </w:r>
      <w:r>
        <w:rPr>
          <w:sz w:val="24"/>
          <w:szCs w:val="24"/>
        </w:rPr>
        <w:t>,</w:t>
      </w:r>
      <w:r w:rsidRPr="00627019">
        <w:rPr>
          <w:sz w:val="24"/>
          <w:szCs w:val="24"/>
        </w:rPr>
        <w:t xml:space="preserve"> снижение налоговых поступлений.</w:t>
      </w:r>
    </w:p>
    <w:p w:rsidR="00220B3F" w:rsidRPr="00627019" w:rsidRDefault="00220B3F" w:rsidP="00220B3F">
      <w:pPr>
        <w:tabs>
          <w:tab w:val="left" w:pos="720"/>
        </w:tabs>
        <w:rPr>
          <w:sz w:val="24"/>
          <w:szCs w:val="24"/>
        </w:rPr>
      </w:pPr>
      <w:r w:rsidRPr="00627019">
        <w:rPr>
          <w:sz w:val="24"/>
          <w:szCs w:val="24"/>
        </w:rPr>
        <w:tab/>
        <w:t>На основании расчета ожидаемого исполнения по налогу на имущество организаций в 2016 году, темпов роста среднегодовой стоимости имущества, предложенных Администрацией на 2017-2019 годы, Контрольно-счетной палатой произведен расчет прогноза поступлений по налогу на имущество организаций в консолидированный бюджет в 2017-2019 годах, полученные значения которого в целом существенно не отклоняется от сумм поступлений по данному источнику, предложенных Администрацией.</w:t>
      </w:r>
      <w:r>
        <w:rPr>
          <w:sz w:val="24"/>
          <w:szCs w:val="24"/>
        </w:rPr>
        <w:t xml:space="preserve"> </w:t>
      </w:r>
      <w:r w:rsidRPr="00627019">
        <w:rPr>
          <w:sz w:val="24"/>
          <w:szCs w:val="24"/>
        </w:rPr>
        <w:t>В то</w:t>
      </w:r>
      <w:r>
        <w:rPr>
          <w:sz w:val="24"/>
          <w:szCs w:val="24"/>
        </w:rPr>
        <w:t xml:space="preserve"> </w:t>
      </w:r>
      <w:r w:rsidRPr="00627019">
        <w:rPr>
          <w:sz w:val="24"/>
          <w:szCs w:val="24"/>
        </w:rPr>
        <w:t>же время при негативном варианте развити</w:t>
      </w:r>
      <w:r>
        <w:rPr>
          <w:sz w:val="24"/>
          <w:szCs w:val="24"/>
        </w:rPr>
        <w:t>я экономики имеются опасения не</w:t>
      </w:r>
      <w:r w:rsidRPr="00627019">
        <w:rPr>
          <w:sz w:val="24"/>
          <w:szCs w:val="24"/>
        </w:rPr>
        <w:t>исполнения прогноза по объему поступлений по данному виду нал</w:t>
      </w:r>
      <w:r>
        <w:rPr>
          <w:sz w:val="24"/>
          <w:szCs w:val="24"/>
        </w:rPr>
        <w:t xml:space="preserve">ога в 2017 году в сумме до </w:t>
      </w:r>
      <w:r w:rsidRPr="00627019">
        <w:rPr>
          <w:sz w:val="24"/>
          <w:szCs w:val="24"/>
        </w:rPr>
        <w:t>150 млн.руб.</w:t>
      </w:r>
    </w:p>
    <w:p w:rsidR="00220B3F" w:rsidRPr="00627019" w:rsidRDefault="00220B3F" w:rsidP="00220B3F">
      <w:pPr>
        <w:tabs>
          <w:tab w:val="left" w:pos="720"/>
        </w:tabs>
        <w:rPr>
          <w:sz w:val="24"/>
          <w:szCs w:val="24"/>
        </w:rPr>
      </w:pPr>
    </w:p>
    <w:p w:rsidR="00220B3F" w:rsidRDefault="00220B3F" w:rsidP="00220B3F">
      <w:pPr>
        <w:widowControl/>
        <w:autoSpaceDE/>
        <w:autoSpaceDN/>
        <w:adjustRightInd/>
        <w:ind w:right="-1" w:firstLine="709"/>
        <w:jc w:val="left"/>
        <w:outlineLvl w:val="0"/>
        <w:rPr>
          <w:b/>
          <w:sz w:val="24"/>
          <w:szCs w:val="24"/>
          <w:lang w:eastAsia="ru-RU"/>
        </w:rPr>
      </w:pPr>
      <w:r w:rsidRPr="008D7938">
        <w:rPr>
          <w:b/>
          <w:sz w:val="24"/>
          <w:szCs w:val="24"/>
          <w:lang w:eastAsia="ru-RU"/>
        </w:rPr>
        <w:t>5.</w:t>
      </w:r>
      <w:r>
        <w:rPr>
          <w:b/>
          <w:sz w:val="24"/>
          <w:szCs w:val="24"/>
          <w:lang w:eastAsia="ru-RU"/>
        </w:rPr>
        <w:t>5</w:t>
      </w:r>
      <w:r w:rsidRPr="008D7938">
        <w:rPr>
          <w:b/>
          <w:sz w:val="24"/>
          <w:szCs w:val="24"/>
          <w:lang w:eastAsia="ru-RU"/>
        </w:rPr>
        <w:t>. Транспортный налог</w:t>
      </w:r>
    </w:p>
    <w:p w:rsidR="00220B3F" w:rsidRDefault="00220B3F" w:rsidP="00220B3F">
      <w:pPr>
        <w:widowControl/>
        <w:autoSpaceDE/>
        <w:autoSpaceDN/>
        <w:adjustRightInd/>
        <w:ind w:right="-1" w:firstLine="709"/>
        <w:jc w:val="left"/>
        <w:outlineLvl w:val="0"/>
        <w:rPr>
          <w:b/>
          <w:sz w:val="24"/>
          <w:szCs w:val="24"/>
          <w:lang w:eastAsia="ru-RU"/>
        </w:rPr>
      </w:pPr>
    </w:p>
    <w:p w:rsidR="00220B3F" w:rsidRPr="00627019" w:rsidRDefault="00220B3F" w:rsidP="00220B3F">
      <w:pPr>
        <w:ind w:firstLine="567"/>
        <w:rPr>
          <w:sz w:val="24"/>
          <w:szCs w:val="24"/>
        </w:rPr>
      </w:pPr>
      <w:r w:rsidRPr="00627019">
        <w:rPr>
          <w:sz w:val="24"/>
          <w:szCs w:val="24"/>
        </w:rPr>
        <w:t>По оценке Администрации ожидаемое исполнение областного бюджета в 2016 году по транспортному налогу может составить 445,5 млн.руб., темп роста к уровню  2015 года – 80,2 %, в сопоставимых ценах – 74,6 %.</w:t>
      </w:r>
    </w:p>
    <w:p w:rsidR="00220B3F" w:rsidRPr="00627019" w:rsidRDefault="00220B3F" w:rsidP="00220B3F">
      <w:pPr>
        <w:ind w:firstLine="567"/>
        <w:rPr>
          <w:sz w:val="24"/>
          <w:szCs w:val="24"/>
        </w:rPr>
      </w:pPr>
      <w:r w:rsidRPr="00627019">
        <w:rPr>
          <w:sz w:val="24"/>
          <w:szCs w:val="24"/>
        </w:rPr>
        <w:t>В материалах и документах к законопроекту поступление транспортного налога в областной бюджет прогнозируется в следующих объемах:</w:t>
      </w:r>
    </w:p>
    <w:p w:rsidR="00220B3F" w:rsidRPr="00627019" w:rsidRDefault="00220B3F" w:rsidP="00220B3F">
      <w:pPr>
        <w:pStyle w:val="a5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627019">
        <w:rPr>
          <w:sz w:val="24"/>
          <w:szCs w:val="24"/>
        </w:rPr>
        <w:t>583,4 млн.руб. в 2017 году, с темпом роста 131 %;</w:t>
      </w:r>
    </w:p>
    <w:p w:rsidR="00220B3F" w:rsidRPr="00627019" w:rsidRDefault="00220B3F" w:rsidP="00220B3F">
      <w:pPr>
        <w:pStyle w:val="a5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627019">
        <w:rPr>
          <w:sz w:val="24"/>
          <w:szCs w:val="24"/>
        </w:rPr>
        <w:t>478,9 млн.руб. в 2018 году, с темпом роста 82,1 %;</w:t>
      </w:r>
    </w:p>
    <w:p w:rsidR="00220B3F" w:rsidRPr="00627019" w:rsidRDefault="00220B3F" w:rsidP="00220B3F">
      <w:pPr>
        <w:pStyle w:val="a5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627019">
        <w:rPr>
          <w:sz w:val="24"/>
          <w:szCs w:val="24"/>
        </w:rPr>
        <w:t>493,6 млн.руб. в 2019 году, с темпом роста 103,1 %.</w:t>
      </w:r>
    </w:p>
    <w:p w:rsidR="00220B3F" w:rsidRPr="00627019" w:rsidRDefault="00220B3F" w:rsidP="00220B3F">
      <w:pPr>
        <w:ind w:firstLine="567"/>
        <w:rPr>
          <w:sz w:val="24"/>
          <w:szCs w:val="24"/>
        </w:rPr>
      </w:pPr>
      <w:r w:rsidRPr="00627019">
        <w:rPr>
          <w:sz w:val="24"/>
          <w:szCs w:val="24"/>
        </w:rPr>
        <w:t>Доля транспортного налога в объеме собственных доходов областного бюджета в 2016 году прогнозируется в размере 1,07 %</w:t>
      </w:r>
      <w:r w:rsidR="00120CFD">
        <w:rPr>
          <w:sz w:val="24"/>
          <w:szCs w:val="24"/>
        </w:rPr>
        <w:t xml:space="preserve">, </w:t>
      </w:r>
      <w:r w:rsidRPr="00627019">
        <w:rPr>
          <w:sz w:val="24"/>
          <w:szCs w:val="24"/>
        </w:rPr>
        <w:t xml:space="preserve"> в 2017-2019 годах </w:t>
      </w:r>
      <w:r w:rsidR="00120CFD">
        <w:rPr>
          <w:sz w:val="24"/>
          <w:szCs w:val="24"/>
        </w:rPr>
        <w:t xml:space="preserve">- </w:t>
      </w:r>
      <w:r w:rsidRPr="00627019">
        <w:rPr>
          <w:sz w:val="24"/>
          <w:szCs w:val="24"/>
        </w:rPr>
        <w:t>от 1,2 % до 0,98 %.</w:t>
      </w:r>
    </w:p>
    <w:p w:rsidR="00220B3F" w:rsidRPr="00627019" w:rsidRDefault="00220B3F" w:rsidP="00220B3F">
      <w:pPr>
        <w:ind w:firstLine="567"/>
        <w:rPr>
          <w:sz w:val="24"/>
          <w:szCs w:val="24"/>
        </w:rPr>
      </w:pPr>
      <w:r w:rsidRPr="00627019">
        <w:rPr>
          <w:sz w:val="24"/>
          <w:szCs w:val="24"/>
        </w:rPr>
        <w:t>Учитывая особенности начисления и уплаты транспортного налога, отраженные в Пояснительной записке, сохранение темпов роста транспортных средств, поставленных на учет в ГИБДД УМВД России по Томской области в 2016 году</w:t>
      </w:r>
      <w:r w:rsidR="00120CFD">
        <w:rPr>
          <w:sz w:val="24"/>
          <w:szCs w:val="24"/>
        </w:rPr>
        <w:t xml:space="preserve">, </w:t>
      </w:r>
      <w:r w:rsidRPr="00627019">
        <w:rPr>
          <w:sz w:val="24"/>
          <w:szCs w:val="24"/>
        </w:rPr>
        <w:t>на уровне 2015 года, и оценку по объемам поступлений в 2016 году</w:t>
      </w:r>
      <w:r w:rsidR="00120CFD">
        <w:rPr>
          <w:sz w:val="24"/>
          <w:szCs w:val="24"/>
        </w:rPr>
        <w:t>,</w:t>
      </w:r>
      <w:r w:rsidRPr="00627019">
        <w:rPr>
          <w:sz w:val="24"/>
          <w:szCs w:val="24"/>
        </w:rPr>
        <w:t xml:space="preserve"> считаем возможным согласиться с прогнозом Администрации на 2017 год в сумме 583,4 млн.руб. и предлагаем произвести корректировку объемов поступлений на плановый период до 515 млн.руб. и 550 млн.руб. соответственно.</w:t>
      </w:r>
    </w:p>
    <w:p w:rsidR="00220B3F" w:rsidRDefault="00220B3F" w:rsidP="00220B3F">
      <w:pPr>
        <w:ind w:firstLine="567"/>
        <w:rPr>
          <w:b/>
          <w:sz w:val="24"/>
          <w:szCs w:val="24"/>
        </w:rPr>
      </w:pPr>
    </w:p>
    <w:p w:rsidR="00220B3F" w:rsidRDefault="00220B3F" w:rsidP="00220B3F">
      <w:pPr>
        <w:ind w:firstLine="709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5.6.</w:t>
      </w:r>
      <w:r>
        <w:rPr>
          <w:b/>
          <w:color w:val="000000"/>
          <w:sz w:val="24"/>
          <w:szCs w:val="24"/>
          <w:lang w:eastAsia="ru-RU"/>
        </w:rPr>
        <w:t xml:space="preserve"> Доходы от использования имущества, находящегося в государственной и муниципальной собственности</w:t>
      </w:r>
    </w:p>
    <w:p w:rsidR="00220B3F" w:rsidRPr="005676FC" w:rsidRDefault="00220B3F" w:rsidP="00220B3F">
      <w:pPr>
        <w:rPr>
          <w:sz w:val="20"/>
          <w:szCs w:val="20"/>
        </w:rPr>
      </w:pPr>
      <w:r>
        <w:rPr>
          <w:color w:val="000000"/>
          <w:sz w:val="24"/>
          <w:szCs w:val="24"/>
          <w:lang w:eastAsia="ru-RU"/>
        </w:rPr>
        <w:tab/>
      </w:r>
    </w:p>
    <w:p w:rsidR="00220B3F" w:rsidRPr="008075DC" w:rsidRDefault="00220B3F" w:rsidP="00220B3F">
      <w:pPr>
        <w:tabs>
          <w:tab w:val="left" w:pos="720"/>
        </w:tabs>
        <w:rPr>
          <w:sz w:val="24"/>
          <w:szCs w:val="24"/>
        </w:rPr>
      </w:pPr>
      <w:r w:rsidRPr="00A14C17">
        <w:rPr>
          <w:sz w:val="24"/>
          <w:szCs w:val="24"/>
        </w:rPr>
        <w:tab/>
        <w:t>Прогнозируемый на 2017 год объем доходов областного бюджета от использования имущества, находящегося в государственной и муниципальной собственности, законопроектом предусмотрен в сумме 58 693,3 тыс.руб., или на уровне ожидаемого исполнения за 2016 год (58 666,7 тыс.руб.) при снижении доли данного вида доходов в общей структуре налоговых и неналоговых доходов областного бюджета с 0,14% до 0,12%. Указанный прогноз объема и доли в плановом периоде значительно меньше в сравнении с исполнением за 2015 год (72 074,5 тыс.руб.</w:t>
      </w:r>
      <w:r w:rsidR="00120CFD">
        <w:rPr>
          <w:sz w:val="24"/>
          <w:szCs w:val="24"/>
        </w:rPr>
        <w:t>,</w:t>
      </w:r>
      <w:r w:rsidRPr="00A14C17">
        <w:rPr>
          <w:sz w:val="24"/>
          <w:szCs w:val="24"/>
        </w:rPr>
        <w:t xml:space="preserve"> или 0,18%), что связано с уменьшением планируемых доходов в виде процентов от предоставления бюджетных кредитов на</w:t>
      </w:r>
      <w:r>
        <w:rPr>
          <w:sz w:val="24"/>
          <w:szCs w:val="24"/>
        </w:rPr>
        <w:t xml:space="preserve"> 13 721,7 тыс.руб. (с 19 873,7 тыс.руб. - в 2015 году до 6 152 тыс.руб. - в 2017 году), дивидендных поступлений - на 2 086,5 тыс.руб. (с 12 373,4 тыс.руб. до 10 286,9 тыс.руб.) и доходов в виде части прибыли областных государственных унитарных предприятий - на 5 342 тыс.руб. (с 12 874 тыс.руб. до 7 532 тыс.руб.) при увеличении прогнозных доходов от сдачи в аренду земельных участков - на 3 411,9 тыс.руб. (с 8 685,5 тыс.руб. до 12 097,4 тыс.руб.) и от сдачи в аренду прочего имущества - на 4 384,3 тыс.руб. (с 18 215,7 тыс.руб. до 22 600 тыс.руб.)</w:t>
      </w:r>
      <w:r w:rsidRPr="008075DC">
        <w:rPr>
          <w:sz w:val="24"/>
          <w:szCs w:val="24"/>
        </w:rPr>
        <w:t>.</w:t>
      </w:r>
    </w:p>
    <w:p w:rsidR="00220B3F" w:rsidRPr="009B4F39" w:rsidRDefault="00220B3F" w:rsidP="00220B3F">
      <w:pPr>
        <w:tabs>
          <w:tab w:val="left" w:pos="720"/>
        </w:tabs>
        <w:rPr>
          <w:sz w:val="24"/>
          <w:szCs w:val="24"/>
          <w:highlight w:val="yellow"/>
        </w:rPr>
      </w:pPr>
    </w:p>
    <w:p w:rsidR="00220B3F" w:rsidRDefault="00220B3F" w:rsidP="00220B3F">
      <w:pPr>
        <w:tabs>
          <w:tab w:val="left" w:pos="709"/>
        </w:tabs>
        <w:rPr>
          <w:sz w:val="24"/>
          <w:szCs w:val="24"/>
        </w:rPr>
      </w:pPr>
      <w:r w:rsidRPr="008075DC">
        <w:rPr>
          <w:sz w:val="24"/>
          <w:szCs w:val="24"/>
        </w:rPr>
        <w:tab/>
        <w:t xml:space="preserve">Ожидаемое за 2016 год исполнение </w:t>
      </w:r>
      <w:r w:rsidRPr="008075DC">
        <w:rPr>
          <w:b/>
          <w:sz w:val="24"/>
          <w:szCs w:val="24"/>
        </w:rPr>
        <w:t xml:space="preserve">по доходам </w:t>
      </w:r>
      <w:r w:rsidRPr="008075DC">
        <w:rPr>
          <w:b/>
          <w:snapToGrid w:val="0"/>
          <w:sz w:val="24"/>
          <w:szCs w:val="24"/>
        </w:rPr>
        <w:t>в виде прибыли, приходящейся на доли в уставных капиталах хозяйственных товариществ и обществ, или</w:t>
      </w:r>
      <w:r w:rsidRPr="008075DC">
        <w:rPr>
          <w:snapToGrid w:val="0"/>
          <w:sz w:val="24"/>
          <w:szCs w:val="24"/>
        </w:rPr>
        <w:t xml:space="preserve"> </w:t>
      </w:r>
      <w:r w:rsidRPr="008075DC">
        <w:rPr>
          <w:b/>
          <w:snapToGrid w:val="0"/>
          <w:sz w:val="24"/>
          <w:szCs w:val="24"/>
        </w:rPr>
        <w:t>дивидендов по акциям, принадлежащим Томской области</w:t>
      </w:r>
      <w:r w:rsidRPr="008075DC">
        <w:rPr>
          <w:snapToGrid w:val="0"/>
          <w:sz w:val="24"/>
          <w:szCs w:val="24"/>
        </w:rPr>
        <w:t xml:space="preserve"> </w:t>
      </w:r>
      <w:r w:rsidRPr="008075DC">
        <w:rPr>
          <w:sz w:val="24"/>
          <w:szCs w:val="24"/>
        </w:rPr>
        <w:t xml:space="preserve">- 10 286,9 тыс.руб. </w:t>
      </w:r>
      <w:r>
        <w:rPr>
          <w:sz w:val="24"/>
          <w:szCs w:val="24"/>
        </w:rPr>
        <w:t>(от 4 хозобществ со 100%-ной долей Томской области и ПАО «Ростелеком»), что</w:t>
      </w:r>
      <w:r w:rsidRPr="008075DC">
        <w:rPr>
          <w:sz w:val="24"/>
          <w:szCs w:val="24"/>
        </w:rPr>
        <w:t xml:space="preserve"> </w:t>
      </w:r>
      <w:r>
        <w:rPr>
          <w:sz w:val="24"/>
          <w:szCs w:val="24"/>
        </w:rPr>
        <w:t>на 3 593,3 тыс.руб. меньше</w:t>
      </w:r>
      <w:r w:rsidRPr="008075DC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8075DC">
        <w:rPr>
          <w:sz w:val="24"/>
          <w:szCs w:val="24"/>
        </w:rPr>
        <w:t xml:space="preserve"> текущ</w:t>
      </w:r>
      <w:r>
        <w:rPr>
          <w:sz w:val="24"/>
          <w:szCs w:val="24"/>
        </w:rPr>
        <w:t>его</w:t>
      </w:r>
      <w:r w:rsidRPr="008075D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8075DC">
        <w:rPr>
          <w:sz w:val="24"/>
          <w:szCs w:val="24"/>
        </w:rPr>
        <w:t xml:space="preserve"> (13 880,2 тыс.руб.), установленно</w:t>
      </w:r>
      <w:r>
        <w:rPr>
          <w:sz w:val="24"/>
          <w:szCs w:val="24"/>
        </w:rPr>
        <w:t>го исходя из принятой дивидендной политики Томской области и необходимости соблюдения требований, предусмотренных распоряжением Администрации Томской области от 20.01.2010 № 34-ра «Об обеспечении поступлений в областной бюджет неналоговых доходов» в части</w:t>
      </w:r>
      <w:r w:rsidRPr="00EC1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 позиции акционера </w:t>
      </w:r>
      <w:r w:rsidRPr="005A6EE2">
        <w:rPr>
          <w:rFonts w:eastAsia="Calibri"/>
          <w:sz w:val="24"/>
          <w:szCs w:val="24"/>
        </w:rPr>
        <w:t xml:space="preserve">(участника) - Томской области в хозяйственных обществах, в уставном капитале которых доля Томской области составляет более 50 процентов (от </w:t>
      </w:r>
      <w:r w:rsidRPr="003B3697">
        <w:rPr>
          <w:bCs/>
          <w:sz w:val="24"/>
          <w:szCs w:val="24"/>
        </w:rPr>
        <w:t>имени и в интересах</w:t>
      </w:r>
      <w:r>
        <w:rPr>
          <w:bCs/>
          <w:sz w:val="24"/>
          <w:szCs w:val="24"/>
        </w:rPr>
        <w:t xml:space="preserve"> которого</w:t>
      </w:r>
      <w:r w:rsidRPr="008B4EB5">
        <w:rPr>
          <w:bCs/>
          <w:sz w:val="24"/>
          <w:szCs w:val="24"/>
        </w:rPr>
        <w:t xml:space="preserve"> </w:t>
      </w:r>
      <w:r w:rsidRPr="003B3697">
        <w:rPr>
          <w:bCs/>
          <w:sz w:val="24"/>
          <w:szCs w:val="24"/>
        </w:rPr>
        <w:t>выступа</w:t>
      </w:r>
      <w:r>
        <w:rPr>
          <w:bCs/>
          <w:sz w:val="24"/>
          <w:szCs w:val="24"/>
        </w:rPr>
        <w:t>ю</w:t>
      </w:r>
      <w:r w:rsidRPr="003B3697">
        <w:rPr>
          <w:bCs/>
          <w:sz w:val="24"/>
          <w:szCs w:val="24"/>
        </w:rPr>
        <w:t>т Департамент по управлению государственной собственностью Томской области</w:t>
      </w:r>
      <w:r>
        <w:rPr>
          <w:bCs/>
          <w:sz w:val="24"/>
          <w:szCs w:val="24"/>
        </w:rPr>
        <w:t xml:space="preserve"> и ОГБСУ «Фонд государственного имущества Томской области»), о направлении указанными </w:t>
      </w:r>
      <w:r>
        <w:rPr>
          <w:sz w:val="24"/>
          <w:szCs w:val="24"/>
        </w:rPr>
        <w:t>хозобществами на выплату дивидендов не только 25% чистой прибыли, но и остатка чистой прибыли, не распределенной на финансирование инвестиционных проектов и иные цели.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 состоянию на 01.10.2016 г. в собственности Томской области находились акции (доли в уставных капиталах) 13 хозобществ с долей участия Томской области более 50% уставного капитала, из них в отношении ОАО «Региональное ипотечное агентство Томской области» введена процедура конкурсного производства, в отношении</w:t>
      </w:r>
      <w:r w:rsidRPr="00D74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«Томское агентство привлечения инвестиций» принято решение о ликвидации. </w:t>
      </w:r>
    </w:p>
    <w:p w:rsidR="00220B3F" w:rsidRPr="0072192D" w:rsidRDefault="00220B3F" w:rsidP="00220B3F">
      <w:pPr>
        <w:widowControl/>
        <w:tabs>
          <w:tab w:val="left" w:pos="709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  <w:t xml:space="preserve">Фактически </w:t>
      </w:r>
      <w:r w:rsidRPr="00FB1E42">
        <w:rPr>
          <w:sz w:val="24"/>
          <w:szCs w:val="24"/>
        </w:rPr>
        <w:t>Департаментом по управлению государственной собственностью</w:t>
      </w:r>
      <w:r>
        <w:rPr>
          <w:sz w:val="24"/>
          <w:szCs w:val="24"/>
        </w:rPr>
        <w:t xml:space="preserve"> (администратором данного вида доходов) и ОГБСУ «Фонд госимущества Томской области»</w:t>
      </w:r>
      <w:r w:rsidRPr="00FB1E42">
        <w:rPr>
          <w:sz w:val="24"/>
          <w:szCs w:val="24"/>
        </w:rPr>
        <w:t xml:space="preserve"> </w:t>
      </w:r>
      <w:r>
        <w:rPr>
          <w:sz w:val="24"/>
          <w:szCs w:val="24"/>
        </w:rPr>
        <w:t>не обеспечено выполнение положений дивидендной политики, требований вышеуказанного распоряжения от 20.01.2010 № 34-ра и принятых планов, так как из 5</w:t>
      </w:r>
      <w:r w:rsidRPr="0072192D">
        <w:rPr>
          <w:sz w:val="24"/>
          <w:szCs w:val="24"/>
        </w:rPr>
        <w:t xml:space="preserve"> хозяйственных обществ</w:t>
      </w:r>
      <w:r>
        <w:rPr>
          <w:sz w:val="24"/>
          <w:szCs w:val="24"/>
        </w:rPr>
        <w:t xml:space="preserve"> со 100%-ной долей</w:t>
      </w:r>
      <w:r w:rsidRPr="0072192D">
        <w:rPr>
          <w:sz w:val="24"/>
          <w:szCs w:val="24"/>
        </w:rPr>
        <w:t xml:space="preserve"> Томской области</w:t>
      </w:r>
      <w:r>
        <w:rPr>
          <w:sz w:val="24"/>
          <w:szCs w:val="24"/>
        </w:rPr>
        <w:t xml:space="preserve"> в уставном капитале, получивших по итогам 2015 года чистую прибыль, единственным акционером (участником) трех обществ приняты решения о направлении на выплату дивидендов лишь </w:t>
      </w:r>
      <w:r w:rsidRPr="0072192D">
        <w:rPr>
          <w:sz w:val="24"/>
          <w:szCs w:val="24"/>
        </w:rPr>
        <w:t>25% чистой прибыли</w:t>
      </w:r>
      <w:r>
        <w:rPr>
          <w:sz w:val="24"/>
          <w:szCs w:val="24"/>
        </w:rPr>
        <w:t xml:space="preserve">, </w:t>
      </w:r>
      <w:r w:rsidRPr="0072192D">
        <w:rPr>
          <w:sz w:val="24"/>
          <w:szCs w:val="24"/>
        </w:rPr>
        <w:t>АО «Медтехника»</w:t>
      </w:r>
      <w:r>
        <w:rPr>
          <w:sz w:val="24"/>
          <w:szCs w:val="24"/>
        </w:rPr>
        <w:t xml:space="preserve"> -</w:t>
      </w:r>
      <w:r w:rsidRPr="0072192D">
        <w:rPr>
          <w:sz w:val="24"/>
          <w:szCs w:val="24"/>
        </w:rPr>
        <w:t xml:space="preserve"> 40%</w:t>
      </w:r>
      <w:r>
        <w:rPr>
          <w:sz w:val="24"/>
          <w:szCs w:val="24"/>
        </w:rPr>
        <w:t>, а остаток чистой прибыли распределить на собственные нужды хозобществ - финансирование хозяйственной деятельности</w:t>
      </w:r>
      <w:r w:rsidRPr="00284F4E">
        <w:rPr>
          <w:sz w:val="24"/>
          <w:szCs w:val="24"/>
        </w:rPr>
        <w:t>, пополнение оборотных средств и развитие производства</w:t>
      </w:r>
      <w:r>
        <w:rPr>
          <w:sz w:val="24"/>
          <w:szCs w:val="24"/>
        </w:rPr>
        <w:t>, по</w:t>
      </w:r>
      <w:r w:rsidRPr="0072192D">
        <w:rPr>
          <w:sz w:val="24"/>
          <w:szCs w:val="24"/>
        </w:rPr>
        <w:t xml:space="preserve"> ООО «Томский кампус» </w:t>
      </w:r>
      <w:r>
        <w:rPr>
          <w:sz w:val="24"/>
          <w:szCs w:val="24"/>
        </w:rPr>
        <w:t xml:space="preserve">не принято решение о распределении чистой </w:t>
      </w:r>
      <w:r w:rsidRPr="00284F4E">
        <w:rPr>
          <w:sz w:val="24"/>
          <w:szCs w:val="24"/>
        </w:rPr>
        <w:t>прибыли.</w:t>
      </w:r>
      <w:r>
        <w:rPr>
          <w:sz w:val="24"/>
          <w:szCs w:val="24"/>
        </w:rPr>
        <w:t xml:space="preserve"> Кроме того, 3 хозобщества (АО «Корпорация развития Томской области», ОАО «Редакция газеты «Томские новости», ООО «Центр кластерного развития Томской области»), планировавших получение чистой прибыли по итогам 2015 года и перечисление дивидендов в областной бюджет, фактически сработали с убытком. 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8075DC">
        <w:rPr>
          <w:sz w:val="24"/>
          <w:szCs w:val="24"/>
        </w:rPr>
        <w:t xml:space="preserve">На 2017 год </w:t>
      </w:r>
      <w:r>
        <w:rPr>
          <w:sz w:val="24"/>
          <w:szCs w:val="24"/>
        </w:rPr>
        <w:t xml:space="preserve">прогнозные поступления дивидендных </w:t>
      </w:r>
      <w:r w:rsidRPr="008075DC">
        <w:rPr>
          <w:sz w:val="24"/>
          <w:szCs w:val="24"/>
        </w:rPr>
        <w:t>доход</w:t>
      </w:r>
      <w:r>
        <w:rPr>
          <w:sz w:val="24"/>
          <w:szCs w:val="24"/>
        </w:rPr>
        <w:t>ов</w:t>
      </w:r>
      <w:r w:rsidRPr="008075D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законопроектом</w:t>
      </w:r>
      <w:r w:rsidRPr="008075DC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предусмотрены на уровне ожидаемых поступлений текущего года в сумме</w:t>
      </w:r>
      <w:r w:rsidRPr="008075DC">
        <w:rPr>
          <w:sz w:val="24"/>
          <w:szCs w:val="24"/>
        </w:rPr>
        <w:t xml:space="preserve"> 10</w:t>
      </w:r>
      <w:r>
        <w:rPr>
          <w:sz w:val="24"/>
          <w:szCs w:val="24"/>
        </w:rPr>
        <w:t> 286,9</w:t>
      </w:r>
      <w:r w:rsidRPr="008075DC">
        <w:rPr>
          <w:sz w:val="24"/>
          <w:szCs w:val="24"/>
        </w:rPr>
        <w:t xml:space="preserve"> тыс.руб</w:t>
      </w:r>
      <w:r w:rsidRPr="00E048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6EE2">
        <w:rPr>
          <w:color w:val="000000"/>
          <w:sz w:val="24"/>
          <w:szCs w:val="24"/>
        </w:rPr>
        <w:t xml:space="preserve">Расчет указанных поступлений осуществлен администратором данных доходов </w:t>
      </w:r>
      <w:r>
        <w:rPr>
          <w:sz w:val="24"/>
          <w:szCs w:val="24"/>
        </w:rPr>
        <w:t>на основе</w:t>
      </w:r>
      <w:r w:rsidRPr="005A6EE2">
        <w:rPr>
          <w:color w:val="000000"/>
          <w:sz w:val="24"/>
          <w:szCs w:val="24"/>
        </w:rPr>
        <w:t xml:space="preserve"> Методики прогнозирования поступлений доходов в областной бюджет, главным администратором которых является Департамент по управлению государственной собственностью Томской области</w:t>
      </w:r>
      <w:r w:rsidRPr="00D70942">
        <w:rPr>
          <w:snapToGrid w:val="0"/>
          <w:sz w:val="24"/>
          <w:szCs w:val="24"/>
        </w:rPr>
        <w:t xml:space="preserve">, </w:t>
      </w:r>
      <w:r w:rsidRPr="005A6EE2">
        <w:rPr>
          <w:color w:val="000000"/>
          <w:sz w:val="24"/>
          <w:szCs w:val="24"/>
        </w:rPr>
        <w:t xml:space="preserve">утвержденной приказом Департамента от 02.09.2016 № 57 (далее - Методика прогнозирования поступлений доходов), в части доходов </w:t>
      </w:r>
      <w:r w:rsidRPr="00D70942">
        <w:rPr>
          <w:snapToGrid w:val="0"/>
          <w:sz w:val="24"/>
          <w:szCs w:val="24"/>
        </w:rPr>
        <w:t xml:space="preserve">в виде прибыли, приходящейся на доли в уставных </w:t>
      </w:r>
      <w:r>
        <w:rPr>
          <w:snapToGrid w:val="0"/>
          <w:sz w:val="24"/>
          <w:szCs w:val="24"/>
        </w:rPr>
        <w:t xml:space="preserve">(складочных) </w:t>
      </w:r>
      <w:r w:rsidRPr="00D70942">
        <w:rPr>
          <w:snapToGrid w:val="0"/>
          <w:sz w:val="24"/>
          <w:szCs w:val="24"/>
        </w:rPr>
        <w:t>капиталах хозяйственных товариществ и обществ</w:t>
      </w:r>
      <w:r w:rsidR="00120CFD">
        <w:rPr>
          <w:snapToGrid w:val="0"/>
          <w:sz w:val="24"/>
          <w:szCs w:val="24"/>
        </w:rPr>
        <w:t xml:space="preserve">, </w:t>
      </w:r>
      <w:r w:rsidRPr="005A6EE2">
        <w:rPr>
          <w:color w:val="000000"/>
          <w:sz w:val="24"/>
          <w:szCs w:val="24"/>
        </w:rPr>
        <w:t xml:space="preserve"> - с применением метода прямого счета исходя из</w:t>
      </w:r>
      <w:r w:rsidRPr="00FB1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показателей </w:t>
      </w:r>
      <w:r w:rsidRPr="00FB1E42">
        <w:rPr>
          <w:sz w:val="24"/>
          <w:szCs w:val="24"/>
        </w:rPr>
        <w:t>программ финансово-хозяйственной деятельности хозяйственных обществ с долей Томской области в уставных капиталах, утвержденных советами директоров, и (или) из прогнозных показателей развития</w:t>
      </w:r>
      <w:r>
        <w:rPr>
          <w:sz w:val="24"/>
          <w:szCs w:val="24"/>
        </w:rPr>
        <w:t xml:space="preserve"> обществ</w:t>
      </w:r>
      <w:r w:rsidRPr="00FB1E42">
        <w:rPr>
          <w:sz w:val="24"/>
          <w:szCs w:val="24"/>
        </w:rPr>
        <w:t>.</w:t>
      </w:r>
      <w:r>
        <w:rPr>
          <w:sz w:val="24"/>
          <w:szCs w:val="24"/>
        </w:rPr>
        <w:t xml:space="preserve"> Принятый в данном расчете планируемый размер дивидендов от 4 хозобществ со 100%-ной долей Томской области (ОАО «Томскагроинвест», АО «Корпорация развития Томской области», ОАО «Санаторий «Чажемто», ООО «Гарантийный фонд Томской области») также составляет только 25% чистой прибыли, от АО «Медтехника» - 40%.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75DC">
        <w:rPr>
          <w:sz w:val="24"/>
          <w:szCs w:val="24"/>
        </w:rPr>
        <w:t>Прогноз доходов на 2018 год - 15 778,5 тыс.руб. (рост к уровню 2017 года на 5</w:t>
      </w:r>
      <w:r>
        <w:rPr>
          <w:sz w:val="24"/>
          <w:szCs w:val="24"/>
        </w:rPr>
        <w:t> 491,6</w:t>
      </w:r>
      <w:r w:rsidRPr="008075DC">
        <w:rPr>
          <w:sz w:val="24"/>
          <w:szCs w:val="24"/>
        </w:rPr>
        <w:t xml:space="preserve"> тыс. руб.</w:t>
      </w:r>
      <w:r w:rsidR="00120CFD">
        <w:rPr>
          <w:sz w:val="24"/>
          <w:szCs w:val="24"/>
        </w:rPr>
        <w:t>,</w:t>
      </w:r>
      <w:r w:rsidRPr="008075DC">
        <w:rPr>
          <w:sz w:val="24"/>
          <w:szCs w:val="24"/>
        </w:rPr>
        <w:t xml:space="preserve"> или на 5</w:t>
      </w:r>
      <w:r>
        <w:rPr>
          <w:sz w:val="24"/>
          <w:szCs w:val="24"/>
        </w:rPr>
        <w:t>3</w:t>
      </w:r>
      <w:r w:rsidRPr="008075DC">
        <w:rPr>
          <w:sz w:val="24"/>
          <w:szCs w:val="24"/>
        </w:rPr>
        <w:t>%</w:t>
      </w:r>
      <w:r w:rsidRPr="0065050D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планируемым увеличением общего объема чистой прибыли вышеуказанных 5 хозобществ, а также с планируемым поступлением дивидендов ООО «Центр кластерного развития Томской области»</w:t>
      </w:r>
      <w:r w:rsidRPr="008075DC">
        <w:rPr>
          <w:sz w:val="24"/>
          <w:szCs w:val="24"/>
        </w:rPr>
        <w:t>), на 201</w:t>
      </w:r>
      <w:r>
        <w:rPr>
          <w:sz w:val="24"/>
          <w:szCs w:val="24"/>
        </w:rPr>
        <w:t>9</w:t>
      </w:r>
      <w:r w:rsidRPr="008075DC">
        <w:rPr>
          <w:sz w:val="24"/>
          <w:szCs w:val="24"/>
        </w:rPr>
        <w:t xml:space="preserve"> год - 16 019,6 тыс.руб. (рост к уровню 2018 года - на 241,1 тыс.руб.</w:t>
      </w:r>
      <w:r w:rsidR="00120CFD">
        <w:rPr>
          <w:sz w:val="24"/>
          <w:szCs w:val="24"/>
        </w:rPr>
        <w:t>,</w:t>
      </w:r>
      <w:r w:rsidRPr="008075DC">
        <w:rPr>
          <w:sz w:val="24"/>
          <w:szCs w:val="24"/>
        </w:rPr>
        <w:t xml:space="preserve"> или на 1,5%).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8075DC">
        <w:rPr>
          <w:sz w:val="24"/>
          <w:szCs w:val="24"/>
        </w:rPr>
        <w:t xml:space="preserve">Планируемый </w:t>
      </w:r>
      <w:r>
        <w:rPr>
          <w:sz w:val="24"/>
          <w:szCs w:val="24"/>
        </w:rPr>
        <w:t>объем</w:t>
      </w:r>
      <w:r w:rsidRPr="008075DC">
        <w:rPr>
          <w:sz w:val="24"/>
          <w:szCs w:val="24"/>
        </w:rPr>
        <w:t xml:space="preserve"> дивидендов в расчете на 1 тысячу рублей, вложенных из областного бюджета в уставные капиталы хозобществ, </w:t>
      </w:r>
      <w:r>
        <w:rPr>
          <w:sz w:val="24"/>
          <w:szCs w:val="24"/>
        </w:rPr>
        <w:t xml:space="preserve">на 2017 год составит 6,74 руб. (на уровне ожидаемого за 2016 год), на </w:t>
      </w:r>
      <w:r w:rsidRPr="00AD032E">
        <w:rPr>
          <w:sz w:val="24"/>
          <w:szCs w:val="24"/>
        </w:rPr>
        <w:t xml:space="preserve">2018 </w:t>
      </w:r>
      <w:r>
        <w:rPr>
          <w:sz w:val="24"/>
          <w:szCs w:val="24"/>
        </w:rPr>
        <w:t xml:space="preserve">и </w:t>
      </w:r>
      <w:r w:rsidRPr="00AD032E">
        <w:rPr>
          <w:sz w:val="24"/>
          <w:szCs w:val="24"/>
        </w:rPr>
        <w:t>2019 год</w:t>
      </w:r>
      <w:r>
        <w:rPr>
          <w:sz w:val="24"/>
          <w:szCs w:val="24"/>
        </w:rPr>
        <w:t>ы - соответственно</w:t>
      </w:r>
      <w:r w:rsidRPr="00AD032E">
        <w:rPr>
          <w:sz w:val="24"/>
          <w:szCs w:val="24"/>
        </w:rPr>
        <w:t xml:space="preserve"> 10,33 руб.</w:t>
      </w:r>
      <w:r>
        <w:rPr>
          <w:sz w:val="24"/>
          <w:szCs w:val="24"/>
        </w:rPr>
        <w:t xml:space="preserve"> и</w:t>
      </w:r>
      <w:r w:rsidRPr="00AD032E">
        <w:rPr>
          <w:sz w:val="24"/>
          <w:szCs w:val="24"/>
        </w:rPr>
        <w:t xml:space="preserve"> 10,49 руб.</w:t>
      </w:r>
      <w:r>
        <w:rPr>
          <w:sz w:val="24"/>
          <w:szCs w:val="24"/>
        </w:rPr>
        <w:t>, при этом указанные планируемые показатели</w:t>
      </w:r>
      <w:r w:rsidRPr="00EA076F">
        <w:rPr>
          <w:sz w:val="24"/>
          <w:szCs w:val="24"/>
        </w:rPr>
        <w:t xml:space="preserve"> </w:t>
      </w:r>
      <w:r w:rsidRPr="00AD032E">
        <w:rPr>
          <w:sz w:val="24"/>
          <w:szCs w:val="24"/>
        </w:rPr>
        <w:t>значительно ниже факт</w:t>
      </w:r>
      <w:r>
        <w:rPr>
          <w:sz w:val="24"/>
          <w:szCs w:val="24"/>
        </w:rPr>
        <w:t xml:space="preserve">ически сложившихся </w:t>
      </w:r>
      <w:r w:rsidRPr="00AD032E">
        <w:rPr>
          <w:sz w:val="24"/>
          <w:szCs w:val="24"/>
        </w:rPr>
        <w:t>за 2014 год (26,38 руб.)</w:t>
      </w:r>
      <w:r>
        <w:rPr>
          <w:sz w:val="24"/>
          <w:szCs w:val="24"/>
        </w:rPr>
        <w:t>.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5A6EE2">
        <w:rPr>
          <w:color w:val="000000"/>
          <w:sz w:val="24"/>
          <w:szCs w:val="24"/>
        </w:rPr>
        <w:t>П</w:t>
      </w:r>
      <w:r>
        <w:rPr>
          <w:sz w:val="24"/>
          <w:szCs w:val="24"/>
        </w:rPr>
        <w:t xml:space="preserve">о результатам произведенных Контрольно-счетной палатой проверочных расчетов установлено занижение </w:t>
      </w:r>
      <w:r>
        <w:rPr>
          <w:b/>
          <w:sz w:val="24"/>
          <w:szCs w:val="24"/>
        </w:rPr>
        <w:t xml:space="preserve">планируемого объема доходов </w:t>
      </w:r>
      <w:r>
        <w:rPr>
          <w:b/>
          <w:snapToGrid w:val="0"/>
          <w:sz w:val="24"/>
          <w:szCs w:val="24"/>
        </w:rPr>
        <w:t>в виде прибыли, приходящейся на доли в уставных капиталах хозяйственных товариществ и обществ, или дивидендов по акциям, принадлежащим Томской области</w:t>
      </w:r>
      <w:r>
        <w:rPr>
          <w:b/>
          <w:sz w:val="24"/>
          <w:szCs w:val="24"/>
        </w:rPr>
        <w:t>: 2017 год - на 690,9 тыс.руб. (прогнозируемый объем доходов должен составить 10 977,8 тыс.руб.), 2018 год - на 776 тыс.руб. (16 554,5 тыс.руб.), 2019 год - на 1 164 тыс.руб. (17 183,6 тыс.руб.)</w:t>
      </w:r>
      <w:r w:rsidRPr="005A6EE2">
        <w:rPr>
          <w:color w:val="000000"/>
          <w:sz w:val="24"/>
          <w:szCs w:val="24"/>
        </w:rPr>
        <w:t>, так как в прогнозе доходов не учтен</w:t>
      </w:r>
      <w:r>
        <w:rPr>
          <w:color w:val="000000"/>
          <w:sz w:val="24"/>
          <w:szCs w:val="24"/>
        </w:rPr>
        <w:t xml:space="preserve">ы планы по выплате дивидендов </w:t>
      </w:r>
      <w:r w:rsidRPr="005A6EE2">
        <w:rPr>
          <w:color w:val="000000"/>
          <w:sz w:val="24"/>
          <w:szCs w:val="24"/>
        </w:rPr>
        <w:t xml:space="preserve">ПАО «Томскпромстройбанк» и ООО «Томский кампус». При прогнозировании данного вида доходов на 2017-2019 г.г. вновь не обеспечено исполнение </w:t>
      </w:r>
      <w:r>
        <w:rPr>
          <w:sz w:val="24"/>
          <w:szCs w:val="24"/>
        </w:rPr>
        <w:t>положений дивидендной политики Томской области и распоряжения от 20.01.2010 № 34-ра в части</w:t>
      </w:r>
      <w:r w:rsidRPr="00EC1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 соответствующей позиции акционера </w:t>
      </w:r>
      <w:r w:rsidRPr="005A6EE2">
        <w:rPr>
          <w:rFonts w:eastAsia="Calibri"/>
          <w:sz w:val="24"/>
          <w:szCs w:val="24"/>
        </w:rPr>
        <w:t>(участника) хозяйственных обществ, в уставном капитале которых доля Томской области составляет более 50 процентов</w:t>
      </w:r>
      <w:r>
        <w:rPr>
          <w:sz w:val="24"/>
          <w:szCs w:val="24"/>
        </w:rPr>
        <w:t>.</w:t>
      </w:r>
    </w:p>
    <w:p w:rsidR="00220B3F" w:rsidRPr="00787984" w:rsidRDefault="00220B3F" w:rsidP="00220B3F">
      <w:pPr>
        <w:tabs>
          <w:tab w:val="left" w:pos="709"/>
        </w:tabs>
        <w:ind w:firstLine="709"/>
        <w:rPr>
          <w:sz w:val="20"/>
          <w:szCs w:val="20"/>
        </w:rPr>
      </w:pP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4202EA">
        <w:rPr>
          <w:b/>
          <w:sz w:val="24"/>
          <w:szCs w:val="24"/>
        </w:rPr>
        <w:t>Доходы,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</w:t>
      </w:r>
      <w:r w:rsidRPr="004D67F4">
        <w:rPr>
          <w:sz w:val="24"/>
          <w:szCs w:val="24"/>
        </w:rPr>
        <w:t xml:space="preserve">, прогнозируются </w:t>
      </w:r>
      <w:r w:rsidRPr="0085335C">
        <w:rPr>
          <w:sz w:val="24"/>
          <w:szCs w:val="24"/>
        </w:rPr>
        <w:t>на 201</w:t>
      </w:r>
      <w:r>
        <w:rPr>
          <w:sz w:val="24"/>
          <w:szCs w:val="24"/>
        </w:rPr>
        <w:t xml:space="preserve">7 год </w:t>
      </w:r>
      <w:r w:rsidRPr="0085335C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12 097,4 тыс.руб.</w:t>
      </w:r>
      <w:r w:rsidRPr="0085335C">
        <w:rPr>
          <w:sz w:val="24"/>
          <w:szCs w:val="24"/>
        </w:rPr>
        <w:t>, что составляет 1</w:t>
      </w:r>
      <w:r>
        <w:rPr>
          <w:sz w:val="24"/>
          <w:szCs w:val="24"/>
        </w:rPr>
        <w:t>13</w:t>
      </w:r>
      <w:r w:rsidRPr="0085335C">
        <w:rPr>
          <w:sz w:val="24"/>
          <w:szCs w:val="24"/>
        </w:rPr>
        <w:t xml:space="preserve">% к плану </w:t>
      </w:r>
      <w:r>
        <w:rPr>
          <w:sz w:val="24"/>
          <w:szCs w:val="24"/>
        </w:rPr>
        <w:t>текущего</w:t>
      </w:r>
      <w:r w:rsidRPr="0085335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85335C">
        <w:rPr>
          <w:sz w:val="24"/>
          <w:szCs w:val="24"/>
        </w:rPr>
        <w:t xml:space="preserve"> и к ожидаемому его исполнению (</w:t>
      </w:r>
      <w:r>
        <w:rPr>
          <w:sz w:val="24"/>
          <w:szCs w:val="24"/>
        </w:rPr>
        <w:t>10 697,4</w:t>
      </w:r>
      <w:r w:rsidRPr="0085335C">
        <w:rPr>
          <w:sz w:val="24"/>
          <w:szCs w:val="24"/>
        </w:rPr>
        <w:t xml:space="preserve"> тыс.руб.).</w:t>
      </w:r>
      <w:r w:rsidR="00120CFD">
        <w:rPr>
          <w:sz w:val="24"/>
          <w:szCs w:val="24"/>
        </w:rPr>
        <w:t xml:space="preserve"> На 2018-</w:t>
      </w:r>
      <w:r>
        <w:rPr>
          <w:sz w:val="24"/>
          <w:szCs w:val="24"/>
        </w:rPr>
        <w:t>2019 годы доходы по данному источнику прогнозируются с уменьшением к уровню 2017 года в объеме 11 097,4 тыс.руб. ежегодно. Уточненное о</w:t>
      </w:r>
      <w:r w:rsidRPr="00F20D5A">
        <w:rPr>
          <w:sz w:val="24"/>
          <w:szCs w:val="24"/>
        </w:rPr>
        <w:t xml:space="preserve">жидаемое </w:t>
      </w:r>
      <w:r>
        <w:rPr>
          <w:sz w:val="24"/>
          <w:szCs w:val="24"/>
        </w:rPr>
        <w:t>поступление</w:t>
      </w:r>
      <w:r w:rsidRPr="00F20D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 доходов в 2016 году </w:t>
      </w:r>
      <w:r>
        <w:rPr>
          <w:b/>
          <w:sz w:val="24"/>
          <w:szCs w:val="24"/>
        </w:rPr>
        <w:t>-</w:t>
      </w:r>
      <w:r w:rsidRPr="00F20D5A">
        <w:rPr>
          <w:b/>
          <w:sz w:val="24"/>
          <w:szCs w:val="24"/>
        </w:rPr>
        <w:t xml:space="preserve"> </w:t>
      </w:r>
      <w:r w:rsidRPr="00F20D5A">
        <w:rPr>
          <w:snapToGrid w:val="0"/>
          <w:sz w:val="24"/>
          <w:szCs w:val="24"/>
        </w:rPr>
        <w:t>9</w:t>
      </w:r>
      <w:r>
        <w:rPr>
          <w:snapToGrid w:val="0"/>
          <w:sz w:val="24"/>
          <w:szCs w:val="24"/>
        </w:rPr>
        <w:t> </w:t>
      </w:r>
      <w:r w:rsidRPr="00F20D5A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>14,2</w:t>
      </w:r>
      <w:r w:rsidRPr="00F20D5A">
        <w:rPr>
          <w:snapToGrid w:val="0"/>
          <w:sz w:val="24"/>
          <w:szCs w:val="24"/>
        </w:rPr>
        <w:t xml:space="preserve"> тыс.руб.</w:t>
      </w:r>
      <w:r w:rsidR="00120CFD">
        <w:rPr>
          <w:snapToGrid w:val="0"/>
          <w:sz w:val="24"/>
          <w:szCs w:val="24"/>
        </w:rPr>
        <w:t>,</w:t>
      </w:r>
      <w:r w:rsidRPr="00F20D5A">
        <w:rPr>
          <w:snapToGrid w:val="0"/>
          <w:sz w:val="24"/>
          <w:szCs w:val="24"/>
        </w:rPr>
        <w:t xml:space="preserve"> или 89% от установленного плана</w:t>
      </w:r>
      <w:r w:rsidRPr="00F20D5A">
        <w:rPr>
          <w:sz w:val="24"/>
          <w:szCs w:val="24"/>
        </w:rPr>
        <w:t xml:space="preserve"> </w:t>
      </w:r>
      <w:r>
        <w:rPr>
          <w:sz w:val="24"/>
          <w:szCs w:val="24"/>
        </w:rPr>
        <w:t>(в связи с вероятным непоступлением в 4 квартале 2016 года текущих платежей за аренду 6 земельных участков, предоставленных ООО «Футбольный клуб «Томь»)</w:t>
      </w:r>
      <w:r w:rsidRPr="00F20D5A">
        <w:rPr>
          <w:sz w:val="24"/>
          <w:szCs w:val="24"/>
        </w:rPr>
        <w:t>.</w:t>
      </w:r>
      <w:r w:rsidRPr="008075DC">
        <w:rPr>
          <w:sz w:val="24"/>
          <w:szCs w:val="24"/>
        </w:rPr>
        <w:t xml:space="preserve"> 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85335C">
        <w:rPr>
          <w:sz w:val="24"/>
          <w:szCs w:val="24"/>
        </w:rPr>
        <w:t xml:space="preserve">Указанная сумма </w:t>
      </w:r>
      <w:r>
        <w:rPr>
          <w:sz w:val="24"/>
          <w:szCs w:val="24"/>
        </w:rPr>
        <w:t xml:space="preserve">доходов </w:t>
      </w:r>
      <w:r w:rsidRPr="0085335C">
        <w:rPr>
          <w:sz w:val="24"/>
          <w:szCs w:val="24"/>
        </w:rPr>
        <w:t xml:space="preserve">включает доходы по двум источникам, администрируемым Департаментом по управлению государственной </w:t>
      </w:r>
      <w:r>
        <w:rPr>
          <w:sz w:val="24"/>
          <w:szCs w:val="24"/>
        </w:rPr>
        <w:t>собственностью:</w:t>
      </w:r>
    </w:p>
    <w:p w:rsidR="00220B3F" w:rsidRDefault="00220B3F" w:rsidP="00220B3F">
      <w:pPr>
        <w:tabs>
          <w:tab w:val="left" w:pos="709"/>
        </w:tabs>
        <w:ind w:firstLine="709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335C">
        <w:rPr>
          <w:sz w:val="24"/>
          <w:szCs w:val="24"/>
        </w:rPr>
        <w:t>доходы в виде</w:t>
      </w:r>
      <w:r w:rsidRPr="0085335C">
        <w:rPr>
          <w:b/>
          <w:sz w:val="24"/>
          <w:szCs w:val="24"/>
        </w:rPr>
        <w:t xml:space="preserve"> </w:t>
      </w:r>
      <w:r w:rsidRPr="0085335C">
        <w:rPr>
          <w:sz w:val="24"/>
          <w:szCs w:val="24"/>
        </w:rPr>
        <w:t>арендной платы, а также средства от продажи права на заключение договоров аренды за земельные участки, находящиеся в собственности Томской области</w:t>
      </w:r>
      <w:r w:rsidRPr="0085335C">
        <w:rPr>
          <w:snapToGrid w:val="0"/>
          <w:sz w:val="24"/>
          <w:szCs w:val="24"/>
        </w:rPr>
        <w:t xml:space="preserve"> (за исключением земельных участков бюджетных и </w:t>
      </w:r>
      <w:r>
        <w:rPr>
          <w:snapToGrid w:val="0"/>
          <w:sz w:val="24"/>
          <w:szCs w:val="24"/>
        </w:rPr>
        <w:t>автономных учреждений);</w:t>
      </w:r>
    </w:p>
    <w:p w:rsidR="00220B3F" w:rsidRPr="0085335C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5335C">
        <w:rPr>
          <w:sz w:val="24"/>
          <w:szCs w:val="24"/>
        </w:rPr>
        <w:t xml:space="preserve">доходы, получаемые в виде арендной платы за земельные участки, расположенные в границах городских округов, находящиеся в федеральной собственности, полномочия по </w:t>
      </w:r>
      <w:r>
        <w:rPr>
          <w:sz w:val="24"/>
          <w:szCs w:val="24"/>
        </w:rPr>
        <w:t xml:space="preserve">управлению и </w:t>
      </w:r>
      <w:r w:rsidRPr="0085335C">
        <w:rPr>
          <w:sz w:val="24"/>
          <w:szCs w:val="24"/>
        </w:rPr>
        <w:t xml:space="preserve">распоряжению которыми переданы </w:t>
      </w:r>
      <w:r w:rsidRPr="00833A83">
        <w:rPr>
          <w:sz w:val="24"/>
          <w:szCs w:val="24"/>
        </w:rPr>
        <w:t>органам госвласти субъектов РФ</w:t>
      </w:r>
      <w:r w:rsidRPr="0085335C">
        <w:rPr>
          <w:sz w:val="24"/>
          <w:szCs w:val="24"/>
        </w:rPr>
        <w:t xml:space="preserve">, а также средства от продажи права на заключение договоров аренды указанных земельных участков. 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Доходы от</w:t>
      </w:r>
      <w:r w:rsidRPr="0085335C">
        <w:rPr>
          <w:b/>
          <w:sz w:val="24"/>
          <w:szCs w:val="24"/>
        </w:rPr>
        <w:t xml:space="preserve"> </w:t>
      </w:r>
      <w:r w:rsidRPr="0085335C">
        <w:rPr>
          <w:sz w:val="24"/>
          <w:szCs w:val="24"/>
        </w:rPr>
        <w:t>аренды земельных участков, находящихся в собственности Томской области</w:t>
      </w:r>
      <w:r w:rsidRPr="0085335C">
        <w:rPr>
          <w:snapToGrid w:val="0"/>
          <w:sz w:val="24"/>
          <w:szCs w:val="24"/>
        </w:rPr>
        <w:t xml:space="preserve">, </w:t>
      </w:r>
      <w:r w:rsidRPr="0085335C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</w:t>
      </w:r>
      <w:r w:rsidRPr="0085335C">
        <w:rPr>
          <w:sz w:val="24"/>
          <w:szCs w:val="24"/>
        </w:rPr>
        <w:t xml:space="preserve">прогнозируются в сумме </w:t>
      </w:r>
      <w:r>
        <w:rPr>
          <w:sz w:val="24"/>
          <w:szCs w:val="24"/>
        </w:rPr>
        <w:t>12 000 тыс.руб., что</w:t>
      </w:r>
      <w:r w:rsidRPr="0085335C">
        <w:rPr>
          <w:sz w:val="24"/>
          <w:szCs w:val="24"/>
        </w:rPr>
        <w:t xml:space="preserve"> на </w:t>
      </w:r>
      <w:r>
        <w:rPr>
          <w:sz w:val="24"/>
          <w:szCs w:val="24"/>
        </w:rPr>
        <w:t>1 400</w:t>
      </w:r>
      <w:r w:rsidRPr="0085335C">
        <w:rPr>
          <w:sz w:val="24"/>
          <w:szCs w:val="24"/>
        </w:rPr>
        <w:t xml:space="preserve"> тыс.руб. больше плана </w:t>
      </w:r>
      <w:r>
        <w:rPr>
          <w:sz w:val="24"/>
          <w:szCs w:val="24"/>
        </w:rPr>
        <w:t>текущего</w:t>
      </w:r>
      <w:r w:rsidRPr="0085335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составляет 127% к уточненному </w:t>
      </w:r>
      <w:r w:rsidRPr="0085335C">
        <w:rPr>
          <w:sz w:val="24"/>
          <w:szCs w:val="24"/>
        </w:rPr>
        <w:t>ожидаемо</w:t>
      </w:r>
      <w:r>
        <w:rPr>
          <w:sz w:val="24"/>
          <w:szCs w:val="24"/>
        </w:rPr>
        <w:t>му поступлению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>за 2016 год по данному источнику доходов (9 416,8 тыс.руб.)</w:t>
      </w:r>
      <w:r w:rsidRPr="0085335C">
        <w:rPr>
          <w:sz w:val="24"/>
          <w:szCs w:val="24"/>
        </w:rPr>
        <w:t xml:space="preserve">. Расчет планируемых доходов </w:t>
      </w:r>
      <w:r>
        <w:rPr>
          <w:sz w:val="24"/>
          <w:szCs w:val="24"/>
        </w:rPr>
        <w:t>на 2017 год осуществлен</w:t>
      </w:r>
      <w:r w:rsidRPr="0085335C">
        <w:rPr>
          <w:sz w:val="24"/>
          <w:szCs w:val="24"/>
        </w:rPr>
        <w:t xml:space="preserve"> администратором доходов </w:t>
      </w:r>
      <w:r>
        <w:rPr>
          <w:sz w:val="24"/>
          <w:szCs w:val="24"/>
        </w:rPr>
        <w:t xml:space="preserve">на основании вышеуказанной </w:t>
      </w:r>
      <w:r w:rsidRPr="005A6EE2">
        <w:rPr>
          <w:color w:val="000000"/>
          <w:sz w:val="24"/>
          <w:szCs w:val="24"/>
        </w:rPr>
        <w:t>Методики прогнозирования поступлений доходов</w:t>
      </w:r>
      <w:r w:rsidR="00232647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исходя из размера арендной платы по</w:t>
      </w:r>
      <w:r w:rsidRPr="0085335C">
        <w:rPr>
          <w:sz w:val="24"/>
          <w:szCs w:val="24"/>
        </w:rPr>
        <w:t xml:space="preserve"> действующи</w:t>
      </w:r>
      <w:r>
        <w:rPr>
          <w:sz w:val="24"/>
          <w:szCs w:val="24"/>
        </w:rPr>
        <w:t>м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момент прогнозирования </w:t>
      </w:r>
      <w:r w:rsidRPr="0085335C">
        <w:rPr>
          <w:sz w:val="24"/>
          <w:szCs w:val="24"/>
        </w:rPr>
        <w:t>договор</w:t>
      </w:r>
      <w:r>
        <w:rPr>
          <w:sz w:val="24"/>
          <w:szCs w:val="24"/>
        </w:rPr>
        <w:t>ам</w:t>
      </w:r>
      <w:r w:rsidRPr="0085335C">
        <w:rPr>
          <w:sz w:val="24"/>
          <w:szCs w:val="24"/>
        </w:rPr>
        <w:t xml:space="preserve"> аренды земельных участков общей площадью 12</w:t>
      </w:r>
      <w:r>
        <w:rPr>
          <w:sz w:val="24"/>
          <w:szCs w:val="24"/>
        </w:rPr>
        <w:t> 960,7 тыс. кв.м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(за исключением договоров аренды, заключенных с ОГУП «Первомайское ДРСУ», находящимся в стадии ликвидации), без учета имеющейся задолженности по арендным платежам (в связи с предполагаемым взысканием до конца текущего года, за исключением долгов ОГУП «Первомайское ДРСУ» в сумме 774,8 тыс.руб., которые не планируются к погашению), но с учетом прогнозируемого увеличения размера арендной платы в связи с ее переоценкой (Методикой не предусмотрена переоценка арендной платы). 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Прогноз доходов на </w:t>
      </w:r>
      <w:r w:rsidRPr="0085335C">
        <w:rPr>
          <w:sz w:val="24"/>
          <w:szCs w:val="24"/>
        </w:rPr>
        <w:t>201</w:t>
      </w:r>
      <w:r>
        <w:rPr>
          <w:sz w:val="24"/>
          <w:szCs w:val="24"/>
        </w:rPr>
        <w:t>8 - 2019</w:t>
      </w:r>
      <w:r w:rsidRPr="0085335C">
        <w:rPr>
          <w:sz w:val="24"/>
          <w:szCs w:val="24"/>
        </w:rPr>
        <w:t xml:space="preserve"> г</w:t>
      </w:r>
      <w:r>
        <w:rPr>
          <w:sz w:val="24"/>
          <w:szCs w:val="24"/>
        </w:rPr>
        <w:t>.г.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 с уменьшением к уровню 2017 года - 11 000 тыс.руб. ежегодно.</w:t>
      </w:r>
      <w:r w:rsidRPr="00052F27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Подтвердить обоснованность данного прогноза не представляется возможным, так как администратором доходов не представлен</w:t>
      </w:r>
      <w:r w:rsidRPr="003B22DF">
        <w:rPr>
          <w:sz w:val="24"/>
          <w:szCs w:val="24"/>
        </w:rPr>
        <w:t xml:space="preserve"> </w:t>
      </w:r>
      <w:r>
        <w:rPr>
          <w:sz w:val="24"/>
          <w:szCs w:val="24"/>
        </w:rPr>
        <w:t>расчет.</w:t>
      </w:r>
    </w:p>
    <w:p w:rsidR="00220B3F" w:rsidRPr="00F57982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 w:rsidRPr="00052F27">
        <w:rPr>
          <w:sz w:val="24"/>
          <w:szCs w:val="24"/>
        </w:rPr>
        <w:t xml:space="preserve">Потенциальным резервом </w:t>
      </w:r>
      <w:r w:rsidRPr="00F57982">
        <w:rPr>
          <w:sz w:val="24"/>
          <w:szCs w:val="24"/>
        </w:rPr>
        <w:t xml:space="preserve">увеличения поступлений доходов в областной бюджет в виде арендных платежей за земельные участки </w:t>
      </w:r>
      <w:r>
        <w:rPr>
          <w:sz w:val="24"/>
          <w:szCs w:val="24"/>
        </w:rPr>
        <w:t xml:space="preserve">(или от их продажи) </w:t>
      </w:r>
      <w:r w:rsidRPr="00F57982">
        <w:rPr>
          <w:sz w:val="24"/>
          <w:szCs w:val="24"/>
        </w:rPr>
        <w:t xml:space="preserve">является активизация работы в </w:t>
      </w:r>
      <w:r>
        <w:rPr>
          <w:sz w:val="24"/>
          <w:szCs w:val="24"/>
        </w:rPr>
        <w:t>отношении</w:t>
      </w:r>
      <w:r w:rsidRPr="00F57982">
        <w:rPr>
          <w:sz w:val="24"/>
          <w:szCs w:val="24"/>
        </w:rPr>
        <w:t xml:space="preserve"> непредоставленны</w:t>
      </w:r>
      <w:r>
        <w:rPr>
          <w:sz w:val="24"/>
          <w:szCs w:val="24"/>
        </w:rPr>
        <w:t>х</w:t>
      </w:r>
      <w:r w:rsidRPr="00F57982">
        <w:rPr>
          <w:sz w:val="24"/>
          <w:szCs w:val="24"/>
        </w:rPr>
        <w:t xml:space="preserve"> в пользование 1</w:t>
      </w:r>
      <w:r>
        <w:rPr>
          <w:sz w:val="24"/>
          <w:szCs w:val="24"/>
        </w:rPr>
        <w:t>11</w:t>
      </w:r>
      <w:r w:rsidRPr="00F57982">
        <w:rPr>
          <w:sz w:val="24"/>
          <w:szCs w:val="24"/>
        </w:rPr>
        <w:t xml:space="preserve"> земельны</w:t>
      </w:r>
      <w:r>
        <w:rPr>
          <w:sz w:val="24"/>
          <w:szCs w:val="24"/>
        </w:rPr>
        <w:t>х</w:t>
      </w:r>
      <w:r w:rsidRPr="00F57982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F57982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25,47</w:t>
      </w:r>
      <w:r w:rsidRPr="00F57982">
        <w:rPr>
          <w:sz w:val="24"/>
          <w:szCs w:val="24"/>
        </w:rPr>
        <w:t xml:space="preserve"> га кадастровой стоимостью </w:t>
      </w:r>
      <w:r>
        <w:rPr>
          <w:sz w:val="24"/>
          <w:szCs w:val="24"/>
        </w:rPr>
        <w:t>262,7</w:t>
      </w:r>
      <w:r w:rsidRPr="00F57982">
        <w:rPr>
          <w:sz w:val="24"/>
          <w:szCs w:val="24"/>
        </w:rPr>
        <w:t xml:space="preserve"> млн.руб., находящи</w:t>
      </w:r>
      <w:r>
        <w:rPr>
          <w:sz w:val="24"/>
          <w:szCs w:val="24"/>
        </w:rPr>
        <w:t>х</w:t>
      </w:r>
      <w:r w:rsidRPr="00F57982">
        <w:rPr>
          <w:sz w:val="24"/>
          <w:szCs w:val="24"/>
        </w:rPr>
        <w:t>ся в Казне Томской области и используемы</w:t>
      </w:r>
      <w:r>
        <w:rPr>
          <w:sz w:val="24"/>
          <w:szCs w:val="24"/>
        </w:rPr>
        <w:t>х</w:t>
      </w:r>
      <w:r w:rsidRPr="00F57982">
        <w:rPr>
          <w:sz w:val="24"/>
          <w:szCs w:val="24"/>
        </w:rPr>
        <w:t xml:space="preserve"> третьими лицами с нарушением предусмотренных Земельным кодексом РФ принципов единства судьбы земельного участка и прочно связанного с ним объекта недвижимости</w:t>
      </w:r>
      <w:r>
        <w:rPr>
          <w:sz w:val="24"/>
          <w:szCs w:val="24"/>
        </w:rPr>
        <w:t xml:space="preserve"> и</w:t>
      </w:r>
      <w:r w:rsidRPr="00F57982">
        <w:rPr>
          <w:sz w:val="24"/>
          <w:szCs w:val="24"/>
        </w:rPr>
        <w:t xml:space="preserve"> платности использования земли, из них:</w:t>
      </w:r>
    </w:p>
    <w:p w:rsidR="00220B3F" w:rsidRPr="00F57982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F57982">
        <w:rPr>
          <w:sz w:val="24"/>
          <w:szCs w:val="24"/>
        </w:rPr>
        <w:t xml:space="preserve">- 74 земельных участка общей площадью </w:t>
      </w:r>
      <w:r>
        <w:rPr>
          <w:sz w:val="24"/>
          <w:szCs w:val="24"/>
        </w:rPr>
        <w:t>0,44</w:t>
      </w:r>
      <w:r w:rsidRPr="00F57982">
        <w:rPr>
          <w:sz w:val="24"/>
          <w:szCs w:val="24"/>
        </w:rPr>
        <w:t xml:space="preserve"> </w:t>
      </w:r>
      <w:r>
        <w:rPr>
          <w:sz w:val="24"/>
          <w:szCs w:val="24"/>
        </w:rPr>
        <w:t>га</w:t>
      </w:r>
      <w:r w:rsidRPr="00F57982">
        <w:rPr>
          <w:sz w:val="24"/>
          <w:szCs w:val="24"/>
        </w:rPr>
        <w:t xml:space="preserve"> кадастровой стоимостью </w:t>
      </w:r>
      <w:r>
        <w:rPr>
          <w:sz w:val="24"/>
          <w:szCs w:val="24"/>
        </w:rPr>
        <w:t xml:space="preserve">0,2 млн.руб. </w:t>
      </w:r>
      <w:r w:rsidRPr="00F57982">
        <w:rPr>
          <w:sz w:val="24"/>
          <w:szCs w:val="24"/>
        </w:rPr>
        <w:t xml:space="preserve">под предоставленными в аренду объектами газового хозяйства; 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F57982">
        <w:rPr>
          <w:sz w:val="24"/>
          <w:szCs w:val="24"/>
        </w:rPr>
        <w:t xml:space="preserve"> земельны</w:t>
      </w:r>
      <w:r>
        <w:rPr>
          <w:sz w:val="24"/>
          <w:szCs w:val="24"/>
        </w:rPr>
        <w:t>й</w:t>
      </w:r>
      <w:r w:rsidRPr="00F57982">
        <w:rPr>
          <w:sz w:val="24"/>
          <w:szCs w:val="24"/>
        </w:rPr>
        <w:t xml:space="preserve"> участ</w:t>
      </w:r>
      <w:r>
        <w:rPr>
          <w:sz w:val="24"/>
          <w:szCs w:val="24"/>
        </w:rPr>
        <w:t xml:space="preserve">ок </w:t>
      </w:r>
      <w:r w:rsidRPr="00F57982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0,02 га</w:t>
      </w:r>
      <w:r w:rsidRPr="00F57982">
        <w:rPr>
          <w:sz w:val="24"/>
          <w:szCs w:val="24"/>
        </w:rPr>
        <w:t xml:space="preserve"> кадастровой стоимостью </w:t>
      </w:r>
      <w:r>
        <w:rPr>
          <w:sz w:val="24"/>
          <w:szCs w:val="24"/>
        </w:rPr>
        <w:t>0,2</w:t>
      </w:r>
      <w:r w:rsidRPr="00F57982">
        <w:rPr>
          <w:sz w:val="24"/>
          <w:szCs w:val="24"/>
        </w:rPr>
        <w:t xml:space="preserve"> </w:t>
      </w:r>
      <w:r>
        <w:rPr>
          <w:sz w:val="24"/>
          <w:szCs w:val="24"/>
        </w:rPr>
        <w:t>млн</w:t>
      </w:r>
      <w:r w:rsidRPr="00F57982">
        <w:rPr>
          <w:sz w:val="24"/>
          <w:szCs w:val="24"/>
        </w:rPr>
        <w:t xml:space="preserve">.руб. </w:t>
      </w:r>
      <w:r>
        <w:rPr>
          <w:sz w:val="24"/>
          <w:szCs w:val="24"/>
        </w:rPr>
        <w:t xml:space="preserve">(г. Томск, п. Светлый, 31/1) </w:t>
      </w:r>
      <w:r w:rsidRPr="00F57982">
        <w:rPr>
          <w:sz w:val="24"/>
          <w:szCs w:val="24"/>
        </w:rPr>
        <w:t>под объект</w:t>
      </w:r>
      <w:r>
        <w:rPr>
          <w:sz w:val="24"/>
          <w:szCs w:val="24"/>
        </w:rPr>
        <w:t>ом недвижимости, не находящим</w:t>
      </w:r>
      <w:r w:rsidRPr="00F57982">
        <w:rPr>
          <w:sz w:val="24"/>
          <w:szCs w:val="24"/>
        </w:rPr>
        <w:t>ся</w:t>
      </w:r>
      <w:r>
        <w:rPr>
          <w:sz w:val="24"/>
          <w:szCs w:val="24"/>
        </w:rPr>
        <w:t xml:space="preserve"> в собственности Томской области, а также </w:t>
      </w:r>
      <w:r w:rsidRPr="00F57982">
        <w:rPr>
          <w:sz w:val="24"/>
          <w:szCs w:val="24"/>
        </w:rPr>
        <w:t>земельный участок 20,2</w:t>
      </w:r>
      <w:r>
        <w:rPr>
          <w:sz w:val="24"/>
          <w:szCs w:val="24"/>
        </w:rPr>
        <w:t>2</w:t>
      </w:r>
      <w:r w:rsidRPr="00F57982">
        <w:rPr>
          <w:sz w:val="24"/>
          <w:szCs w:val="24"/>
        </w:rPr>
        <w:t xml:space="preserve"> га кадастровой стоимостью </w:t>
      </w:r>
      <w:r>
        <w:rPr>
          <w:sz w:val="24"/>
          <w:szCs w:val="24"/>
        </w:rPr>
        <w:t>255,9 млн</w:t>
      </w:r>
      <w:r w:rsidRPr="00F57982">
        <w:rPr>
          <w:sz w:val="24"/>
          <w:szCs w:val="24"/>
        </w:rPr>
        <w:t>.руб.</w:t>
      </w:r>
      <w:r>
        <w:rPr>
          <w:sz w:val="24"/>
          <w:szCs w:val="24"/>
        </w:rPr>
        <w:t xml:space="preserve"> (</w:t>
      </w:r>
      <w:r w:rsidRPr="00F57982">
        <w:rPr>
          <w:sz w:val="24"/>
          <w:szCs w:val="24"/>
        </w:rPr>
        <w:t>г. Томск,</w:t>
      </w:r>
      <w:r>
        <w:rPr>
          <w:sz w:val="24"/>
          <w:szCs w:val="24"/>
        </w:rPr>
        <w:t xml:space="preserve"> </w:t>
      </w:r>
      <w:r w:rsidRPr="00F57982">
        <w:rPr>
          <w:sz w:val="24"/>
          <w:szCs w:val="24"/>
        </w:rPr>
        <w:t>ул. Угрюмова, 1</w:t>
      </w:r>
      <w:r>
        <w:rPr>
          <w:sz w:val="24"/>
          <w:szCs w:val="24"/>
        </w:rPr>
        <w:t>),</w:t>
      </w:r>
      <w:r w:rsidRPr="00AD5C7F">
        <w:rPr>
          <w:sz w:val="24"/>
          <w:szCs w:val="24"/>
        </w:rPr>
        <w:t xml:space="preserve"> </w:t>
      </w:r>
      <w:r w:rsidRPr="00F57982">
        <w:rPr>
          <w:sz w:val="24"/>
          <w:szCs w:val="24"/>
        </w:rPr>
        <w:t>зарегистрирован</w:t>
      </w:r>
      <w:r>
        <w:rPr>
          <w:sz w:val="24"/>
          <w:szCs w:val="24"/>
        </w:rPr>
        <w:t>ный в</w:t>
      </w:r>
      <w:r w:rsidRPr="00F57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областную </w:t>
      </w:r>
      <w:r w:rsidRPr="00F57982">
        <w:rPr>
          <w:sz w:val="24"/>
          <w:szCs w:val="24"/>
        </w:rPr>
        <w:t>собственност</w:t>
      </w:r>
      <w:r>
        <w:rPr>
          <w:sz w:val="24"/>
          <w:szCs w:val="24"/>
        </w:rPr>
        <w:t>ь</w:t>
      </w:r>
      <w:r w:rsidRPr="00F57982">
        <w:rPr>
          <w:sz w:val="24"/>
          <w:szCs w:val="24"/>
        </w:rPr>
        <w:t xml:space="preserve"> в июле </w:t>
      </w:r>
      <w:r>
        <w:rPr>
          <w:sz w:val="24"/>
          <w:szCs w:val="24"/>
        </w:rPr>
        <w:t>текущего</w:t>
      </w:r>
      <w:r w:rsidRPr="00F57982">
        <w:rPr>
          <w:sz w:val="24"/>
          <w:szCs w:val="24"/>
        </w:rPr>
        <w:t xml:space="preserve"> года, на котором помимо предоставленных в аренду</w:t>
      </w:r>
      <w:r w:rsidRPr="00F748BE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областных объектов недвижимости</w:t>
      </w:r>
      <w:r w:rsidRPr="00F57982">
        <w:rPr>
          <w:sz w:val="24"/>
          <w:szCs w:val="24"/>
        </w:rPr>
        <w:t xml:space="preserve"> расположены и объекты, находящиеся в частной собственности</w:t>
      </w:r>
      <w:r>
        <w:rPr>
          <w:sz w:val="24"/>
          <w:szCs w:val="24"/>
        </w:rPr>
        <w:t>,</w:t>
      </w:r>
      <w:r w:rsidRPr="00F57982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 доходов сформирован без учета планируемого предоставления этого участка в аренду с множественностью лиц на стороне арендатора (с годовой арендной платой, по оценке ООО «Аналитический центр оценки и консалтинга», 8,4 млн.руб.);</w:t>
      </w:r>
    </w:p>
    <w:p w:rsidR="00220B3F" w:rsidRPr="0085335C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F57982">
        <w:rPr>
          <w:sz w:val="24"/>
          <w:szCs w:val="24"/>
        </w:rPr>
        <w:t>- 35 земельных участков общей площадью 4</w:t>
      </w:r>
      <w:r>
        <w:rPr>
          <w:sz w:val="24"/>
          <w:szCs w:val="24"/>
        </w:rPr>
        <w:t>,79 га</w:t>
      </w:r>
      <w:r w:rsidRPr="00F57982">
        <w:rPr>
          <w:sz w:val="24"/>
          <w:szCs w:val="24"/>
        </w:rPr>
        <w:t xml:space="preserve"> кадастровой стоимостью </w:t>
      </w:r>
      <w:r>
        <w:rPr>
          <w:sz w:val="24"/>
          <w:szCs w:val="24"/>
        </w:rPr>
        <w:t xml:space="preserve">6,9 млн.руб. </w:t>
      </w:r>
      <w:r w:rsidRPr="00F57982">
        <w:rPr>
          <w:sz w:val="24"/>
          <w:szCs w:val="24"/>
        </w:rPr>
        <w:t xml:space="preserve">под жилыми </w:t>
      </w:r>
      <w:r>
        <w:rPr>
          <w:sz w:val="24"/>
          <w:szCs w:val="24"/>
        </w:rPr>
        <w:t>объектами недвижимости</w:t>
      </w:r>
      <w:r w:rsidRPr="00F57982">
        <w:rPr>
          <w:sz w:val="24"/>
          <w:szCs w:val="24"/>
        </w:rPr>
        <w:t>, приобретенными в 2011-2015 г.г. в соответствии с Планами приобретения недвижимого имущества в государственную собственность Томской области</w:t>
      </w:r>
      <w:r>
        <w:rPr>
          <w:sz w:val="24"/>
          <w:szCs w:val="24"/>
        </w:rPr>
        <w:t xml:space="preserve"> и</w:t>
      </w:r>
      <w:r w:rsidRPr="00F57982">
        <w:rPr>
          <w:sz w:val="24"/>
          <w:szCs w:val="24"/>
        </w:rPr>
        <w:t xml:space="preserve"> предоставленными по</w:t>
      </w:r>
      <w:r w:rsidRPr="00F57982">
        <w:rPr>
          <w:sz w:val="24"/>
        </w:rPr>
        <w:t xml:space="preserve"> договорам безвозмездного</w:t>
      </w:r>
      <w:r w:rsidRPr="00F57982">
        <w:rPr>
          <w:bCs/>
          <w:sz w:val="24"/>
        </w:rPr>
        <w:t xml:space="preserve"> </w:t>
      </w:r>
      <w:r w:rsidRPr="00F57982">
        <w:rPr>
          <w:sz w:val="24"/>
        </w:rPr>
        <w:t xml:space="preserve">пользования (29 участков общей площадью </w:t>
      </w:r>
      <w:r>
        <w:rPr>
          <w:sz w:val="24"/>
        </w:rPr>
        <w:t>4 га</w:t>
      </w:r>
      <w:r w:rsidRPr="00F57982">
        <w:rPr>
          <w:sz w:val="24"/>
        </w:rPr>
        <w:t xml:space="preserve">) и </w:t>
      </w:r>
      <w:r w:rsidRPr="00F57982">
        <w:rPr>
          <w:bCs/>
          <w:sz w:val="24"/>
        </w:rPr>
        <w:t xml:space="preserve">социального найма (4 участка общей площадью </w:t>
      </w:r>
      <w:r>
        <w:rPr>
          <w:bCs/>
          <w:sz w:val="24"/>
        </w:rPr>
        <w:t>0,</w:t>
      </w:r>
      <w:r w:rsidRPr="00F57982">
        <w:rPr>
          <w:bCs/>
          <w:sz w:val="24"/>
        </w:rPr>
        <w:t xml:space="preserve">6 </w:t>
      </w:r>
      <w:r>
        <w:rPr>
          <w:bCs/>
          <w:sz w:val="24"/>
        </w:rPr>
        <w:t>га</w:t>
      </w:r>
      <w:r w:rsidRPr="00F57982">
        <w:rPr>
          <w:bCs/>
          <w:sz w:val="24"/>
        </w:rPr>
        <w:t xml:space="preserve">) для проживания многодетных семей, а также под приватизированными </w:t>
      </w:r>
      <w:r w:rsidRPr="00F57982">
        <w:rPr>
          <w:sz w:val="24"/>
          <w:szCs w:val="24"/>
        </w:rPr>
        <w:t>жилыми домами (</w:t>
      </w:r>
      <w:r w:rsidRPr="00F57982">
        <w:rPr>
          <w:bCs/>
          <w:sz w:val="24"/>
        </w:rPr>
        <w:t xml:space="preserve">2 участка общей площадью </w:t>
      </w:r>
      <w:r>
        <w:rPr>
          <w:bCs/>
          <w:sz w:val="24"/>
        </w:rPr>
        <w:t>0,2</w:t>
      </w:r>
      <w:r w:rsidRPr="00F57982">
        <w:rPr>
          <w:bCs/>
          <w:sz w:val="24"/>
        </w:rPr>
        <w:t xml:space="preserve"> </w:t>
      </w:r>
      <w:r>
        <w:rPr>
          <w:bCs/>
          <w:sz w:val="24"/>
        </w:rPr>
        <w:t>га</w:t>
      </w:r>
      <w:r w:rsidRPr="00F57982">
        <w:rPr>
          <w:sz w:val="24"/>
          <w:szCs w:val="24"/>
        </w:rPr>
        <w:t>)</w:t>
      </w:r>
      <w:r w:rsidRPr="00F57982">
        <w:rPr>
          <w:bCs/>
          <w:sz w:val="24"/>
        </w:rPr>
        <w:t>.</w:t>
      </w:r>
    </w:p>
    <w:p w:rsidR="00220B3F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 w:rsidRPr="00B8583F">
        <w:rPr>
          <w:sz w:val="24"/>
          <w:szCs w:val="24"/>
        </w:rPr>
        <w:t>Доходы</w:t>
      </w:r>
      <w:r w:rsidRPr="0085335C">
        <w:rPr>
          <w:sz w:val="24"/>
          <w:szCs w:val="24"/>
        </w:rPr>
        <w:t xml:space="preserve">, получаемые в виде арендной платы за земельные участки, расположенные в границах городских округов, </w:t>
      </w:r>
      <w:r w:rsidRPr="00844D29">
        <w:rPr>
          <w:b/>
          <w:sz w:val="24"/>
          <w:szCs w:val="24"/>
        </w:rPr>
        <w:t>находящиеся в федеральной собственности</w:t>
      </w:r>
      <w:r w:rsidRPr="008533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осуществление </w:t>
      </w:r>
      <w:r w:rsidRPr="0085335C">
        <w:rPr>
          <w:sz w:val="24"/>
          <w:szCs w:val="24"/>
        </w:rPr>
        <w:t>полномочи</w:t>
      </w:r>
      <w:r>
        <w:rPr>
          <w:sz w:val="24"/>
          <w:szCs w:val="24"/>
        </w:rPr>
        <w:t>й</w:t>
      </w:r>
      <w:r w:rsidRPr="0085335C">
        <w:rPr>
          <w:sz w:val="24"/>
          <w:szCs w:val="24"/>
        </w:rPr>
        <w:t xml:space="preserve"> по </w:t>
      </w:r>
      <w:r>
        <w:rPr>
          <w:sz w:val="24"/>
          <w:szCs w:val="24"/>
        </w:rPr>
        <w:t>управлению и распоряжению которыми</w:t>
      </w:r>
      <w:r w:rsidRPr="0085335C">
        <w:rPr>
          <w:sz w:val="24"/>
          <w:szCs w:val="24"/>
        </w:rPr>
        <w:t xml:space="preserve"> передан</w:t>
      </w:r>
      <w:r>
        <w:rPr>
          <w:sz w:val="24"/>
          <w:szCs w:val="24"/>
        </w:rPr>
        <w:t>о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 государственной власти </w:t>
      </w:r>
      <w:r w:rsidRPr="0085335C">
        <w:rPr>
          <w:sz w:val="24"/>
          <w:szCs w:val="24"/>
        </w:rPr>
        <w:t>субъект</w:t>
      </w:r>
      <w:r>
        <w:rPr>
          <w:sz w:val="24"/>
          <w:szCs w:val="24"/>
        </w:rPr>
        <w:t>ов РФ</w:t>
      </w:r>
      <w:r w:rsidRPr="0085335C">
        <w:rPr>
          <w:sz w:val="24"/>
          <w:szCs w:val="24"/>
        </w:rPr>
        <w:t xml:space="preserve">, а также средства от продажи права на заключение договоров аренды указанных земельных участков, </w:t>
      </w:r>
      <w:r w:rsidRPr="0085335C">
        <w:rPr>
          <w:snapToGrid w:val="0"/>
          <w:sz w:val="24"/>
          <w:szCs w:val="24"/>
        </w:rPr>
        <w:t>предусмотрены</w:t>
      </w:r>
      <w:r w:rsidRPr="0085335C">
        <w:rPr>
          <w:sz w:val="24"/>
          <w:szCs w:val="24"/>
        </w:rPr>
        <w:t xml:space="preserve"> на 201</w:t>
      </w:r>
      <w:r>
        <w:rPr>
          <w:sz w:val="24"/>
          <w:szCs w:val="24"/>
        </w:rPr>
        <w:t>7</w:t>
      </w:r>
      <w:r w:rsidRPr="0085335C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85335C">
        <w:rPr>
          <w:sz w:val="24"/>
          <w:szCs w:val="24"/>
        </w:rPr>
        <w:t xml:space="preserve"> г.г. в сумме 97,4 тыс.руб. ежегодно </w:t>
      </w:r>
      <w:r>
        <w:rPr>
          <w:sz w:val="24"/>
          <w:szCs w:val="24"/>
        </w:rPr>
        <w:t xml:space="preserve">(на уровне ожидаемого за 2016 год - 97,4 тыс.руб.). Расчет произведен в соответствии с </w:t>
      </w:r>
      <w:r w:rsidRPr="005A6EE2">
        <w:rPr>
          <w:color w:val="000000"/>
          <w:sz w:val="24"/>
          <w:szCs w:val="24"/>
        </w:rPr>
        <w:t xml:space="preserve">Методикой прогнозирования поступлений доходов </w:t>
      </w:r>
      <w:r>
        <w:rPr>
          <w:sz w:val="24"/>
          <w:szCs w:val="24"/>
        </w:rPr>
        <w:t>по данному источнику</w:t>
      </w:r>
      <w:r w:rsidR="00232647">
        <w:rPr>
          <w:sz w:val="24"/>
          <w:szCs w:val="24"/>
        </w:rPr>
        <w:t xml:space="preserve">, </w:t>
      </w:r>
      <w:r w:rsidRPr="0085335C">
        <w:rPr>
          <w:sz w:val="24"/>
          <w:szCs w:val="24"/>
        </w:rPr>
        <w:t>исходя из</w:t>
      </w:r>
      <w:r>
        <w:rPr>
          <w:sz w:val="24"/>
          <w:szCs w:val="24"/>
        </w:rPr>
        <w:t xml:space="preserve"> размера арендной платы по </w:t>
      </w:r>
      <w:r w:rsidRPr="0085335C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Pr="0085335C">
        <w:rPr>
          <w:sz w:val="24"/>
          <w:szCs w:val="24"/>
        </w:rPr>
        <w:t xml:space="preserve"> аренды земельного участка площадью 20,3 га, расположенного по адресу: г</w:t>
      </w:r>
      <w:r>
        <w:rPr>
          <w:sz w:val="24"/>
          <w:szCs w:val="24"/>
        </w:rPr>
        <w:t>. Томск, Кузовлевский тракт, 2б</w:t>
      </w:r>
      <w:r w:rsidRPr="008533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335C">
        <w:rPr>
          <w:sz w:val="24"/>
          <w:szCs w:val="24"/>
        </w:rPr>
        <w:t>заключенн</w:t>
      </w:r>
      <w:r>
        <w:rPr>
          <w:sz w:val="24"/>
          <w:szCs w:val="24"/>
        </w:rPr>
        <w:t>ому</w:t>
      </w:r>
      <w:r w:rsidRPr="0085335C">
        <w:rPr>
          <w:sz w:val="24"/>
          <w:szCs w:val="24"/>
        </w:rPr>
        <w:t xml:space="preserve"> в 2013 году между Департаментом по управлению государственной собственностью</w:t>
      </w:r>
      <w:r>
        <w:rPr>
          <w:sz w:val="24"/>
          <w:szCs w:val="24"/>
        </w:rPr>
        <w:t xml:space="preserve"> </w:t>
      </w:r>
      <w:r w:rsidRPr="0085335C">
        <w:rPr>
          <w:sz w:val="24"/>
          <w:szCs w:val="24"/>
        </w:rPr>
        <w:t>и МУП «Томскстройзаказчик»</w:t>
      </w:r>
      <w:r>
        <w:rPr>
          <w:sz w:val="24"/>
          <w:szCs w:val="24"/>
        </w:rPr>
        <w:t xml:space="preserve"> со</w:t>
      </w:r>
      <w:r w:rsidRPr="0085335C">
        <w:rPr>
          <w:sz w:val="24"/>
          <w:szCs w:val="24"/>
        </w:rPr>
        <w:t xml:space="preserve"> сроком действия до 07.06.2020. 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Кроме того, Правительственной комиссией по развитию жилищного строительства и оценке эффективности использования земельных участков, находящихся в собственности Российской Федерации, принято решение (протокол от 17.06.2016 № 3) о передаче органам государственной власти Томской области осуществления полномочий РФ по управлению и распоряжению находящимся в федеральной собственности земельным участком площадью 90 га из земель населенных пунктов с местоположением: Томская область, Томский район, Богашевское сельское поселение, д. Писарево, микрорайон Аникино</w:t>
      </w:r>
      <w:r w:rsidR="0023264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для комплексного освоения территории, в рамках которого предусматривается в том числе жилищное строительство. По данным Департамента архитектуры и строительства Томской области в настоящее время подготовлен проект пакета документов о проведении аукциона на право заключения договора о комплексном освоении территории земельного участка в целях строительства жилья экономического класса, который планируется провести до конца текущего года. В рамках данного комплексного освоения территории планируется заключение договора аренды указанного земельного участка между победителем аукциона и Департаментом по управлению государственной собственностью Томской области.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этом согласно Перечню главных администраторов доходов областного бюджета (Приложение 3 к законопроекту) за Департаментом по управлению государственной собственностью закреплены только доходы, получаемые в виде арендной платы за земельные участки, которые расположены в </w:t>
      </w:r>
      <w:r w:rsidRPr="00D74D86">
        <w:rPr>
          <w:sz w:val="24"/>
          <w:szCs w:val="24"/>
        </w:rPr>
        <w:t xml:space="preserve">границах </w:t>
      </w:r>
      <w:r w:rsidRPr="00D74D86">
        <w:rPr>
          <w:sz w:val="24"/>
          <w:szCs w:val="24"/>
          <w:u w:val="single"/>
        </w:rPr>
        <w:t>городских</w:t>
      </w:r>
      <w:r w:rsidRPr="00AF2E06">
        <w:rPr>
          <w:sz w:val="24"/>
          <w:szCs w:val="24"/>
          <w:u w:val="single"/>
        </w:rPr>
        <w:t xml:space="preserve"> </w:t>
      </w:r>
      <w:r w:rsidRPr="00844D29">
        <w:rPr>
          <w:sz w:val="24"/>
          <w:szCs w:val="24"/>
          <w:u w:val="single"/>
        </w:rPr>
        <w:t>округов</w:t>
      </w:r>
      <w:r>
        <w:rPr>
          <w:sz w:val="24"/>
          <w:szCs w:val="24"/>
        </w:rPr>
        <w:t>, находятся в федеральной собственности</w:t>
      </w:r>
      <w:r w:rsidR="002326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осуществление полномочий по управлению и распоряжению которыми передано органам государственной власти субъектов РФ, а также средства от продажи права на заключение договоров аренды  указанных земельных участков, а администрирование аналогичных доходов за земельные участки, расположенные в </w:t>
      </w:r>
      <w:r w:rsidRPr="00D74D86">
        <w:rPr>
          <w:sz w:val="24"/>
          <w:szCs w:val="24"/>
        </w:rPr>
        <w:t xml:space="preserve">границах </w:t>
      </w:r>
      <w:r w:rsidRPr="00D74D86">
        <w:rPr>
          <w:sz w:val="24"/>
          <w:szCs w:val="24"/>
          <w:u w:val="single"/>
        </w:rPr>
        <w:t>сельских</w:t>
      </w:r>
      <w:r w:rsidRPr="00AF2E06">
        <w:rPr>
          <w:sz w:val="24"/>
          <w:szCs w:val="24"/>
          <w:u w:val="single"/>
        </w:rPr>
        <w:t xml:space="preserve"> </w:t>
      </w:r>
      <w:r w:rsidRPr="00844D29">
        <w:rPr>
          <w:sz w:val="24"/>
          <w:szCs w:val="24"/>
          <w:u w:val="single"/>
        </w:rPr>
        <w:t>поселений</w:t>
      </w:r>
      <w:r>
        <w:rPr>
          <w:sz w:val="24"/>
          <w:szCs w:val="24"/>
        </w:rPr>
        <w:t>, закреплено за Департаментом архитектуры и строительства Томской области.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Кроме того, отметим, что вышеуказанный земельный участок площадью 90 га ранее был предоставлен в аренду </w:t>
      </w:r>
      <w:r w:rsidRPr="006A5273">
        <w:rPr>
          <w:sz w:val="24"/>
          <w:szCs w:val="24"/>
        </w:rPr>
        <w:t>УМП «Томскстройзаказчик» по договор</w:t>
      </w:r>
      <w:r>
        <w:rPr>
          <w:sz w:val="24"/>
          <w:szCs w:val="24"/>
        </w:rPr>
        <w:t>у</w:t>
      </w:r>
      <w:r w:rsidRPr="006A5273">
        <w:rPr>
          <w:sz w:val="24"/>
          <w:szCs w:val="24"/>
        </w:rPr>
        <w:t>, заключенн</w:t>
      </w:r>
      <w:r>
        <w:rPr>
          <w:sz w:val="24"/>
          <w:szCs w:val="24"/>
        </w:rPr>
        <w:t>о</w:t>
      </w:r>
      <w:r w:rsidRPr="006A5273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Pr="006A5273">
        <w:rPr>
          <w:sz w:val="24"/>
          <w:szCs w:val="24"/>
        </w:rPr>
        <w:t xml:space="preserve"> в 2010 году</w:t>
      </w:r>
      <w:r>
        <w:rPr>
          <w:sz w:val="24"/>
          <w:szCs w:val="24"/>
        </w:rPr>
        <w:t xml:space="preserve"> </w:t>
      </w:r>
      <w:r w:rsidRPr="006A5273">
        <w:rPr>
          <w:sz w:val="24"/>
          <w:szCs w:val="24"/>
        </w:rPr>
        <w:t xml:space="preserve">сроком действия до 31.12.2014 </w:t>
      </w:r>
      <w:r>
        <w:rPr>
          <w:sz w:val="24"/>
          <w:szCs w:val="24"/>
        </w:rPr>
        <w:t>с Департаментом архитектуры и строительства Томской области, который до настоящего времени числит задолженность по данному договору по арендным платежам в сумме 4 211,6 тыс. руб.</w:t>
      </w:r>
      <w:r w:rsidRPr="0057124F">
        <w:rPr>
          <w:sz w:val="24"/>
          <w:szCs w:val="24"/>
        </w:rPr>
        <w:t xml:space="preserve"> </w:t>
      </w:r>
      <w:r>
        <w:rPr>
          <w:sz w:val="24"/>
          <w:szCs w:val="24"/>
        </w:rPr>
        <w:t>(3 595,2 тыс.руб. - основной долг, 616,4 тыс.руб. - проценты за пользование чужими денежными средствами),</w:t>
      </w:r>
      <w:r w:rsidRPr="00895E7F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взысканную по решению Арбитражного суда Томской области от 22.04.2015</w:t>
      </w:r>
      <w:r w:rsidRPr="006A5273">
        <w:rPr>
          <w:sz w:val="24"/>
          <w:szCs w:val="24"/>
        </w:rPr>
        <w:t>.</w:t>
      </w:r>
      <w:r>
        <w:rPr>
          <w:sz w:val="24"/>
          <w:szCs w:val="24"/>
        </w:rPr>
        <w:t xml:space="preserve"> По пояснениям Департамента архитектуры и строительства, с целью недопущения банкротства указанного унитарного предприятия, являющегося одним из крупнейших застройщиков на территории Томской области, а также участником реализации социальных программ Томской области, принято решение о рассрочке на 3 года выплаты указанной задолженности: до конца 2016 года - 1 000 тыс.руб., до конца 2017 года - 1 000 тыс.руб.; до апреля 2018 года - 2 211,6 тыс.руб. </w:t>
      </w:r>
    </w:p>
    <w:p w:rsidR="00220B3F" w:rsidRDefault="00220B3F" w:rsidP="00220B3F">
      <w:pPr>
        <w:tabs>
          <w:tab w:val="left" w:pos="709"/>
        </w:tabs>
        <w:ind w:firstLine="709"/>
        <w:rPr>
          <w:snapToGrid w:val="0"/>
          <w:sz w:val="24"/>
          <w:szCs w:val="24"/>
        </w:rPr>
      </w:pPr>
      <w:r>
        <w:rPr>
          <w:sz w:val="24"/>
          <w:szCs w:val="24"/>
        </w:rPr>
        <w:t>Таким образом, п</w:t>
      </w:r>
      <w:r w:rsidRPr="006A5273">
        <w:rPr>
          <w:sz w:val="24"/>
          <w:szCs w:val="24"/>
        </w:rPr>
        <w:t xml:space="preserve">отенциальным резервом увеличения </w:t>
      </w:r>
      <w:r>
        <w:rPr>
          <w:sz w:val="24"/>
          <w:szCs w:val="24"/>
        </w:rPr>
        <w:t xml:space="preserve">в 2017 году </w:t>
      </w:r>
      <w:r w:rsidRPr="006A5273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, </w:t>
      </w:r>
      <w:r w:rsidRPr="0085335C">
        <w:rPr>
          <w:sz w:val="24"/>
          <w:szCs w:val="24"/>
        </w:rPr>
        <w:t>получаемы</w:t>
      </w:r>
      <w:r>
        <w:rPr>
          <w:sz w:val="24"/>
          <w:szCs w:val="24"/>
        </w:rPr>
        <w:t>х</w:t>
      </w:r>
      <w:r w:rsidRPr="0085335C">
        <w:rPr>
          <w:sz w:val="24"/>
          <w:szCs w:val="24"/>
        </w:rPr>
        <w:t xml:space="preserve"> в виде арендной платы за земельные участки, расположенные в границах </w:t>
      </w:r>
      <w:r>
        <w:rPr>
          <w:sz w:val="24"/>
          <w:szCs w:val="24"/>
        </w:rPr>
        <w:t>сельских поселений</w:t>
      </w:r>
      <w:r w:rsidRPr="0085335C">
        <w:rPr>
          <w:sz w:val="24"/>
          <w:szCs w:val="24"/>
        </w:rPr>
        <w:t xml:space="preserve">, </w:t>
      </w:r>
      <w:r w:rsidRPr="002F080F">
        <w:rPr>
          <w:sz w:val="24"/>
          <w:szCs w:val="24"/>
        </w:rPr>
        <w:t>находящиеся в федеральной собственности</w:t>
      </w:r>
      <w:r w:rsidRPr="008533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осуществление </w:t>
      </w:r>
      <w:r w:rsidRPr="0085335C">
        <w:rPr>
          <w:sz w:val="24"/>
          <w:szCs w:val="24"/>
        </w:rPr>
        <w:t>полномочи</w:t>
      </w:r>
      <w:r>
        <w:rPr>
          <w:sz w:val="24"/>
          <w:szCs w:val="24"/>
        </w:rPr>
        <w:t>й</w:t>
      </w:r>
      <w:r w:rsidRPr="0085335C">
        <w:rPr>
          <w:sz w:val="24"/>
          <w:szCs w:val="24"/>
        </w:rPr>
        <w:t xml:space="preserve"> по </w:t>
      </w:r>
      <w:r>
        <w:rPr>
          <w:sz w:val="24"/>
          <w:szCs w:val="24"/>
        </w:rPr>
        <w:t>управлению и распоряжению которыми</w:t>
      </w:r>
      <w:r w:rsidRPr="0085335C">
        <w:rPr>
          <w:sz w:val="24"/>
          <w:szCs w:val="24"/>
        </w:rPr>
        <w:t xml:space="preserve"> передан</w:t>
      </w:r>
      <w:r>
        <w:rPr>
          <w:sz w:val="24"/>
          <w:szCs w:val="24"/>
        </w:rPr>
        <w:t>о</w:t>
      </w:r>
      <w:r w:rsidRPr="00853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 госвласти </w:t>
      </w:r>
      <w:r w:rsidRPr="0085335C">
        <w:rPr>
          <w:sz w:val="24"/>
          <w:szCs w:val="24"/>
        </w:rPr>
        <w:t>субъект</w:t>
      </w:r>
      <w:r>
        <w:rPr>
          <w:sz w:val="24"/>
          <w:szCs w:val="24"/>
        </w:rPr>
        <w:t>ов РФ</w:t>
      </w:r>
      <w:r w:rsidRPr="0085335C">
        <w:rPr>
          <w:sz w:val="24"/>
          <w:szCs w:val="24"/>
        </w:rPr>
        <w:t xml:space="preserve">, </w:t>
      </w:r>
      <w:r>
        <w:rPr>
          <w:sz w:val="24"/>
          <w:szCs w:val="24"/>
        </w:rPr>
        <w:t>является погашение указанной задолженности в сумме 1 000 тыс.руб., а также доходы по планируемому к заключению договору аренды данного земельного участка с победителем аукциона.</w:t>
      </w:r>
    </w:p>
    <w:p w:rsidR="00220B3F" w:rsidRPr="00787984" w:rsidRDefault="00220B3F" w:rsidP="00220B3F">
      <w:pPr>
        <w:tabs>
          <w:tab w:val="left" w:pos="0"/>
        </w:tabs>
        <w:rPr>
          <w:snapToGrid w:val="0"/>
          <w:sz w:val="20"/>
          <w:szCs w:val="20"/>
          <w:highlight w:val="yellow"/>
        </w:rPr>
      </w:pPr>
    </w:p>
    <w:p w:rsidR="00220B3F" w:rsidRDefault="00220B3F" w:rsidP="00220B3F">
      <w:pPr>
        <w:ind w:firstLine="709"/>
        <w:rPr>
          <w:sz w:val="24"/>
          <w:szCs w:val="24"/>
        </w:rPr>
      </w:pPr>
      <w:r w:rsidRPr="00197B25">
        <w:rPr>
          <w:sz w:val="24"/>
          <w:szCs w:val="24"/>
        </w:rPr>
        <w:t>Ожидаемое за 201</w:t>
      </w:r>
      <w:r>
        <w:rPr>
          <w:sz w:val="24"/>
          <w:szCs w:val="24"/>
        </w:rPr>
        <w:t>6</w:t>
      </w:r>
      <w:r w:rsidRPr="00197B25">
        <w:rPr>
          <w:sz w:val="24"/>
          <w:szCs w:val="24"/>
        </w:rPr>
        <w:t xml:space="preserve"> год исполнение неналоговых </w:t>
      </w:r>
      <w:r w:rsidRPr="00197B25">
        <w:rPr>
          <w:b/>
          <w:sz w:val="24"/>
          <w:szCs w:val="24"/>
        </w:rPr>
        <w:t>доходов</w:t>
      </w:r>
      <w:r w:rsidRPr="00197B25">
        <w:rPr>
          <w:sz w:val="24"/>
          <w:szCs w:val="24"/>
        </w:rPr>
        <w:t xml:space="preserve"> </w:t>
      </w:r>
      <w:r w:rsidRPr="00197B25">
        <w:rPr>
          <w:b/>
          <w:sz w:val="24"/>
          <w:szCs w:val="24"/>
        </w:rPr>
        <w:t>от сдачи в аренду имущества, находящегося в оперативном управлении органов государственной власти Томской области и созданных ими учреждений</w:t>
      </w:r>
      <w:r w:rsidRPr="00197B25">
        <w:rPr>
          <w:sz w:val="24"/>
          <w:szCs w:val="24"/>
        </w:rPr>
        <w:t xml:space="preserve"> </w:t>
      </w:r>
      <w:r w:rsidRPr="00197B25">
        <w:rPr>
          <w:b/>
          <w:sz w:val="24"/>
          <w:szCs w:val="24"/>
        </w:rPr>
        <w:t>(за исключением имущества бюджетных и автономных учреждений)</w:t>
      </w:r>
      <w:r w:rsidRPr="00197B25">
        <w:rPr>
          <w:sz w:val="24"/>
          <w:szCs w:val="24"/>
        </w:rPr>
        <w:t>,</w:t>
      </w:r>
      <w:r w:rsidRPr="0019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197B25">
        <w:rPr>
          <w:sz w:val="24"/>
          <w:szCs w:val="24"/>
        </w:rPr>
        <w:t xml:space="preserve"> материала</w:t>
      </w:r>
      <w:r>
        <w:rPr>
          <w:sz w:val="24"/>
          <w:szCs w:val="24"/>
        </w:rPr>
        <w:t>м</w:t>
      </w:r>
      <w:r w:rsidRPr="00197B25">
        <w:rPr>
          <w:sz w:val="24"/>
          <w:szCs w:val="24"/>
        </w:rPr>
        <w:t xml:space="preserve"> к </w:t>
      </w:r>
      <w:r>
        <w:rPr>
          <w:sz w:val="24"/>
          <w:szCs w:val="24"/>
        </w:rPr>
        <w:t>з</w:t>
      </w:r>
      <w:r w:rsidRPr="00197B25">
        <w:rPr>
          <w:sz w:val="24"/>
          <w:szCs w:val="24"/>
        </w:rPr>
        <w:t>аконопроекту</w:t>
      </w:r>
      <w:r w:rsidRPr="0019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 w:rsidRPr="00197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25F4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Pr="003C25F4">
        <w:rPr>
          <w:sz w:val="24"/>
          <w:szCs w:val="24"/>
        </w:rPr>
        <w:t>550 тыс.руб.</w:t>
      </w:r>
      <w:r w:rsidR="00232647">
        <w:rPr>
          <w:sz w:val="24"/>
          <w:szCs w:val="24"/>
        </w:rPr>
        <w:t>,</w:t>
      </w:r>
      <w:r w:rsidRPr="003C25F4">
        <w:rPr>
          <w:sz w:val="24"/>
          <w:szCs w:val="24"/>
        </w:rPr>
        <w:t xml:space="preserve"> или 100%</w:t>
      </w:r>
      <w:r w:rsidRPr="00197B25">
        <w:rPr>
          <w:sz w:val="24"/>
          <w:szCs w:val="24"/>
        </w:rPr>
        <w:t xml:space="preserve"> </w:t>
      </w:r>
      <w:r>
        <w:rPr>
          <w:sz w:val="24"/>
          <w:szCs w:val="24"/>
        </w:rPr>
        <w:t>от плана.</w:t>
      </w:r>
      <w:r w:rsidRPr="00922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произведенных Контрольно-счетной палатой проверочных расчетов, исходя из фактических поступлений за 9 месяцев текущего года и ожидаемых в 4 квартале арендных платежей по действующим по состоянию на 30.09.2016 договорам аренды, уточненное </w:t>
      </w:r>
      <w:r w:rsidRPr="006C6B7B">
        <w:rPr>
          <w:sz w:val="24"/>
          <w:szCs w:val="24"/>
        </w:rPr>
        <w:t>ожидаем</w:t>
      </w:r>
      <w:r>
        <w:rPr>
          <w:sz w:val="24"/>
          <w:szCs w:val="24"/>
        </w:rPr>
        <w:t xml:space="preserve">ое исполнение </w:t>
      </w:r>
      <w:r w:rsidRPr="006C6B7B">
        <w:rPr>
          <w:sz w:val="24"/>
          <w:szCs w:val="24"/>
        </w:rPr>
        <w:t xml:space="preserve">доходов от сдачи в аренду </w:t>
      </w:r>
      <w:r>
        <w:rPr>
          <w:sz w:val="24"/>
          <w:szCs w:val="24"/>
        </w:rPr>
        <w:t xml:space="preserve">областного государственного </w:t>
      </w:r>
      <w:r w:rsidRPr="006C6B7B">
        <w:rPr>
          <w:sz w:val="24"/>
          <w:szCs w:val="24"/>
        </w:rPr>
        <w:t xml:space="preserve">имущества может составить </w:t>
      </w:r>
      <w:r>
        <w:rPr>
          <w:sz w:val="24"/>
          <w:szCs w:val="24"/>
        </w:rPr>
        <w:t>20 457 тыс</w:t>
      </w:r>
      <w:r w:rsidRPr="006C6B7B">
        <w:rPr>
          <w:sz w:val="24"/>
          <w:szCs w:val="24"/>
        </w:rPr>
        <w:t>.руб.</w:t>
      </w:r>
      <w:r>
        <w:rPr>
          <w:sz w:val="24"/>
          <w:szCs w:val="24"/>
        </w:rPr>
        <w:t xml:space="preserve"> Ожидаемое п</w:t>
      </w:r>
      <w:r w:rsidRPr="00694003">
        <w:rPr>
          <w:sz w:val="24"/>
          <w:szCs w:val="24"/>
        </w:rPr>
        <w:t>оступление сверхплановых доходов связано с заключением новых договоров аренды</w:t>
      </w:r>
      <w:r>
        <w:rPr>
          <w:sz w:val="24"/>
          <w:szCs w:val="24"/>
        </w:rPr>
        <w:t xml:space="preserve"> (с общим объемом поступлений 5 403,7 тыс.руб.,</w:t>
      </w:r>
      <w:r w:rsidRPr="00694003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от аренды</w:t>
      </w:r>
      <w:r w:rsidRPr="00694003">
        <w:rPr>
          <w:sz w:val="24"/>
          <w:szCs w:val="24"/>
        </w:rPr>
        <w:t xml:space="preserve"> нефтяной скважины</w:t>
      </w:r>
      <w:r>
        <w:rPr>
          <w:sz w:val="24"/>
          <w:szCs w:val="24"/>
        </w:rPr>
        <w:t xml:space="preserve"> № </w:t>
      </w:r>
      <w:r w:rsidRPr="008D4215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8D4215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</w:t>
      </w:r>
      <w:r w:rsidRPr="008D4215">
        <w:rPr>
          <w:sz w:val="24"/>
          <w:szCs w:val="24"/>
        </w:rPr>
        <w:t>-Мелимовской площади</w:t>
      </w:r>
      <w:r>
        <w:rPr>
          <w:sz w:val="24"/>
          <w:szCs w:val="24"/>
        </w:rPr>
        <w:t xml:space="preserve"> с годовой арендной платой в сумме 5 005 тыс.руб.), </w:t>
      </w:r>
      <w:r w:rsidRPr="00694003">
        <w:rPr>
          <w:sz w:val="24"/>
          <w:szCs w:val="24"/>
        </w:rPr>
        <w:t>не учтенных при формировании бюджетн</w:t>
      </w:r>
      <w:r>
        <w:rPr>
          <w:sz w:val="24"/>
          <w:szCs w:val="24"/>
        </w:rPr>
        <w:t>ого</w:t>
      </w:r>
      <w:r w:rsidRPr="00694003">
        <w:rPr>
          <w:sz w:val="24"/>
          <w:szCs w:val="24"/>
        </w:rPr>
        <w:t xml:space="preserve"> назначени</w:t>
      </w:r>
      <w:r>
        <w:rPr>
          <w:sz w:val="24"/>
          <w:szCs w:val="24"/>
        </w:rPr>
        <w:t>я</w:t>
      </w:r>
      <w:r w:rsidRPr="00694003">
        <w:rPr>
          <w:sz w:val="24"/>
          <w:szCs w:val="24"/>
        </w:rPr>
        <w:t xml:space="preserve"> на 2016 год, </w:t>
      </w:r>
      <w:r>
        <w:rPr>
          <w:sz w:val="24"/>
          <w:szCs w:val="24"/>
        </w:rPr>
        <w:t xml:space="preserve">а также с увеличением доходов в связи с переоценкой размера арендной платы по скважине № 24 </w:t>
      </w:r>
      <w:r w:rsidRPr="00B33736">
        <w:rPr>
          <w:sz w:val="24"/>
          <w:szCs w:val="24"/>
        </w:rPr>
        <w:t>Зап</w:t>
      </w:r>
      <w:r>
        <w:rPr>
          <w:sz w:val="24"/>
          <w:szCs w:val="24"/>
        </w:rPr>
        <w:t>адно</w:t>
      </w:r>
      <w:r w:rsidRPr="00B33736">
        <w:rPr>
          <w:sz w:val="24"/>
          <w:szCs w:val="24"/>
        </w:rPr>
        <w:t>-Моисеев</w:t>
      </w:r>
      <w:r>
        <w:rPr>
          <w:sz w:val="24"/>
          <w:szCs w:val="24"/>
        </w:rPr>
        <w:t>ской</w:t>
      </w:r>
      <w:r w:rsidRPr="00B33736">
        <w:rPr>
          <w:sz w:val="24"/>
          <w:szCs w:val="24"/>
        </w:rPr>
        <w:t xml:space="preserve"> площ</w:t>
      </w:r>
      <w:r>
        <w:rPr>
          <w:sz w:val="24"/>
          <w:szCs w:val="24"/>
        </w:rPr>
        <w:t xml:space="preserve">ади (374 тыс.руб.) и иным объектам. При этом имеется вероятность недополучения доходов в связи с: прекращением договоров аренды с </w:t>
      </w:r>
      <w:r w:rsidRPr="008A1613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r w:rsidRPr="008A1613">
        <w:rPr>
          <w:sz w:val="24"/>
          <w:szCs w:val="24"/>
        </w:rPr>
        <w:t>СМП-95 Инжиниринг</w:t>
      </w:r>
      <w:r>
        <w:rPr>
          <w:sz w:val="24"/>
          <w:szCs w:val="24"/>
        </w:rPr>
        <w:t xml:space="preserve">», </w:t>
      </w:r>
      <w:r w:rsidRPr="001B741A">
        <w:rPr>
          <w:sz w:val="24"/>
          <w:szCs w:val="24"/>
        </w:rPr>
        <w:t>Верхнеобск</w:t>
      </w:r>
      <w:r>
        <w:rPr>
          <w:sz w:val="24"/>
          <w:szCs w:val="24"/>
        </w:rPr>
        <w:t>им</w:t>
      </w:r>
      <w:r w:rsidRPr="001B741A">
        <w:rPr>
          <w:sz w:val="24"/>
          <w:szCs w:val="24"/>
        </w:rPr>
        <w:t xml:space="preserve"> территориальн</w:t>
      </w:r>
      <w:r>
        <w:rPr>
          <w:sz w:val="24"/>
          <w:szCs w:val="24"/>
        </w:rPr>
        <w:t>ым</w:t>
      </w:r>
      <w:r w:rsidRPr="001B741A">
        <w:rPr>
          <w:sz w:val="24"/>
          <w:szCs w:val="24"/>
        </w:rPr>
        <w:t xml:space="preserve"> управление</w:t>
      </w:r>
      <w:r>
        <w:rPr>
          <w:sz w:val="24"/>
          <w:szCs w:val="24"/>
        </w:rPr>
        <w:t>м</w:t>
      </w:r>
      <w:r w:rsidRPr="001B741A">
        <w:rPr>
          <w:sz w:val="24"/>
          <w:szCs w:val="24"/>
        </w:rPr>
        <w:t xml:space="preserve"> Федерального агентства по рыболовству</w:t>
      </w:r>
      <w:r>
        <w:rPr>
          <w:sz w:val="24"/>
          <w:szCs w:val="24"/>
        </w:rPr>
        <w:t>, ПАО</w:t>
      </w:r>
      <w:r w:rsidRPr="00922C57">
        <w:rPr>
          <w:sz w:val="24"/>
          <w:szCs w:val="24"/>
        </w:rPr>
        <w:t xml:space="preserve"> </w:t>
      </w:r>
      <w:r>
        <w:rPr>
          <w:sz w:val="24"/>
          <w:szCs w:val="24"/>
        </w:rPr>
        <w:t>«Мегафон» (сумма выпадающих доходов - 866 тыс.руб.), снижением количества объектов аренды по договору с ООО «Грейс» (541 тыс.руб.), наличием переплаты на начало текущего года за аренду объектов газового хозяйства и сооружений по адресу: г. Томск, ул. Профсоюзная, 2 (474 тыс.руб.) и ростом задолженности по арендным платежам ООО «</w:t>
      </w:r>
      <w:r w:rsidRPr="00B33736">
        <w:rPr>
          <w:sz w:val="24"/>
          <w:szCs w:val="24"/>
        </w:rPr>
        <w:t>Завод ЖБК-100</w:t>
      </w:r>
      <w:r>
        <w:rPr>
          <w:sz w:val="24"/>
          <w:szCs w:val="24"/>
        </w:rPr>
        <w:t>» (772 тыс.руб.).</w:t>
      </w:r>
    </w:p>
    <w:p w:rsidR="00220B3F" w:rsidRPr="006B1853" w:rsidRDefault="00220B3F" w:rsidP="00220B3F">
      <w:pPr>
        <w:ind w:firstLine="709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очередной раз отметим, что доходы от аренды имущества, находящегося в собственности Томской области, зачисляются по одному коду бюджетной классификации </w:t>
      </w:r>
      <w:r w:rsidRPr="005A6EE2">
        <w:rPr>
          <w:bCs/>
          <w:color w:val="000000"/>
          <w:sz w:val="24"/>
          <w:szCs w:val="24"/>
        </w:rPr>
        <w:t>«Доходы от сдачи в аренду имущества, находящегося в оперативном управлении органов государственной власти Томской области и созданных ими учреждений (за исключением имущества бюджетных и автономных учреждений)», тогда как большая часть этих доходов (</w:t>
      </w:r>
      <w:r w:rsidRPr="005A6EE2">
        <w:rPr>
          <w:color w:val="000000"/>
          <w:sz w:val="24"/>
          <w:szCs w:val="24"/>
        </w:rPr>
        <w:t>86% от ожидаемых поступлений в текущем году</w:t>
      </w:r>
      <w:r>
        <w:rPr>
          <w:color w:val="000000"/>
          <w:sz w:val="24"/>
          <w:szCs w:val="24"/>
        </w:rPr>
        <w:t>,</w:t>
      </w:r>
      <w:r w:rsidRPr="005A6EE2">
        <w:rPr>
          <w:color w:val="000000"/>
          <w:sz w:val="24"/>
          <w:szCs w:val="24"/>
        </w:rPr>
        <w:t xml:space="preserve"> или 17 518 тыс.руб. из 20 457 тыс.руб.) приходится на доходы от аренды имущества Казны Томской области, </w:t>
      </w:r>
      <w:r w:rsidRPr="006B1853">
        <w:rPr>
          <w:b/>
          <w:color w:val="000000"/>
          <w:sz w:val="24"/>
          <w:szCs w:val="24"/>
        </w:rPr>
        <w:t>для учета которых предусмотрен КБК «Доходы от сдачи в аренду имущества, составляющего казну субъекта РФ (за исключением земельных участков)».</w:t>
      </w:r>
    </w:p>
    <w:p w:rsidR="00220B3F" w:rsidRPr="005A6EE2" w:rsidRDefault="00220B3F" w:rsidP="00220B3F">
      <w:pPr>
        <w:ind w:firstLine="709"/>
        <w:rPr>
          <w:bCs/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 xml:space="preserve">Законопроектом не предусмотрено разделение доходов от аренды областного имущества по двум вышеуказанным кодам бюджетной классификации. Поступление доходов планируется только по КБК </w:t>
      </w:r>
      <w:r w:rsidRPr="002B12E6">
        <w:rPr>
          <w:sz w:val="24"/>
          <w:szCs w:val="24"/>
        </w:rPr>
        <w:t>«Доходы от сдачи в аренду имущества, находящегося в оперативном управлении органов государственной власти Томской области и созданных ими учреждений (за исключением имущества бюджетных и автономных учреждений)»</w:t>
      </w:r>
      <w:r w:rsidRPr="005A6EE2">
        <w:rPr>
          <w:color w:val="000000"/>
          <w:sz w:val="24"/>
          <w:szCs w:val="24"/>
        </w:rPr>
        <w:t xml:space="preserve">: </w:t>
      </w:r>
      <w:r w:rsidRPr="002B12E6">
        <w:rPr>
          <w:sz w:val="24"/>
          <w:szCs w:val="24"/>
        </w:rPr>
        <w:t>на 2017 год - 22 600 тыс.руб.</w:t>
      </w:r>
      <w:r w:rsidR="00232647">
        <w:rPr>
          <w:sz w:val="24"/>
          <w:szCs w:val="24"/>
        </w:rPr>
        <w:t xml:space="preserve">, </w:t>
      </w:r>
      <w:r w:rsidRPr="002B12E6">
        <w:rPr>
          <w:sz w:val="24"/>
          <w:szCs w:val="24"/>
        </w:rPr>
        <w:t xml:space="preserve"> или 1</w:t>
      </w:r>
      <w:r>
        <w:rPr>
          <w:sz w:val="24"/>
          <w:szCs w:val="24"/>
        </w:rPr>
        <w:t>10,5</w:t>
      </w:r>
      <w:r w:rsidRPr="002B12E6">
        <w:rPr>
          <w:sz w:val="24"/>
          <w:szCs w:val="24"/>
        </w:rPr>
        <w:t xml:space="preserve">% к </w:t>
      </w:r>
      <w:r>
        <w:rPr>
          <w:sz w:val="24"/>
          <w:szCs w:val="24"/>
        </w:rPr>
        <w:t xml:space="preserve">уточненному </w:t>
      </w:r>
      <w:r w:rsidRPr="002B12E6">
        <w:rPr>
          <w:sz w:val="24"/>
          <w:szCs w:val="24"/>
        </w:rPr>
        <w:t xml:space="preserve">ожидаемому </w:t>
      </w:r>
      <w:r>
        <w:rPr>
          <w:sz w:val="24"/>
          <w:szCs w:val="24"/>
        </w:rPr>
        <w:t>исполнению за</w:t>
      </w:r>
      <w:r w:rsidRPr="002B12E6">
        <w:rPr>
          <w:sz w:val="24"/>
          <w:szCs w:val="24"/>
        </w:rPr>
        <w:t xml:space="preserve"> 2016 год; на 2018 год - 21 800 тыс.руб.</w:t>
      </w:r>
      <w:r w:rsidR="00232647">
        <w:rPr>
          <w:sz w:val="24"/>
          <w:szCs w:val="24"/>
        </w:rPr>
        <w:t>,</w:t>
      </w:r>
      <w:r w:rsidRPr="002B12E6">
        <w:rPr>
          <w:sz w:val="24"/>
          <w:szCs w:val="24"/>
        </w:rPr>
        <w:t xml:space="preserve"> или 96,5% к уровню 2017 г</w:t>
      </w:r>
      <w:r>
        <w:rPr>
          <w:sz w:val="24"/>
          <w:szCs w:val="24"/>
        </w:rPr>
        <w:t>.</w:t>
      </w:r>
      <w:r w:rsidRPr="002B12E6">
        <w:rPr>
          <w:sz w:val="24"/>
          <w:szCs w:val="24"/>
        </w:rPr>
        <w:t>; на 2019 год - 20 700 тыс.руб.</w:t>
      </w:r>
      <w:r w:rsidR="00232647">
        <w:rPr>
          <w:sz w:val="24"/>
          <w:szCs w:val="24"/>
        </w:rPr>
        <w:t>,</w:t>
      </w:r>
      <w:r w:rsidRPr="002B12E6">
        <w:rPr>
          <w:sz w:val="24"/>
          <w:szCs w:val="24"/>
        </w:rPr>
        <w:t xml:space="preserve"> или 95% к уровню 2018 г. А</w:t>
      </w:r>
      <w:r w:rsidRPr="005A6EE2">
        <w:rPr>
          <w:color w:val="000000"/>
          <w:sz w:val="24"/>
          <w:szCs w:val="24"/>
        </w:rPr>
        <w:t xml:space="preserve">дминистратор доходов от сдачи в аренду имущества, составляющего казну субъекта РФ, </w:t>
      </w:r>
      <w:r>
        <w:rPr>
          <w:color w:val="000000"/>
          <w:sz w:val="24"/>
          <w:szCs w:val="24"/>
        </w:rPr>
        <w:t>з</w:t>
      </w:r>
      <w:r w:rsidRPr="005A6EE2">
        <w:rPr>
          <w:color w:val="000000"/>
          <w:sz w:val="24"/>
          <w:szCs w:val="24"/>
        </w:rPr>
        <w:t xml:space="preserve">аконопроектом не предусмотрен. </w:t>
      </w:r>
    </w:p>
    <w:p w:rsidR="00220B3F" w:rsidRPr="005A6EE2" w:rsidRDefault="00220B3F" w:rsidP="00220B3F">
      <w:pPr>
        <w:tabs>
          <w:tab w:val="left" w:pos="709"/>
        </w:tabs>
        <w:ind w:firstLine="709"/>
        <w:rPr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 xml:space="preserve">Расчет прогнозируемых поступлений от аренды областного имущества осуществлен администратором доходов </w:t>
      </w:r>
      <w:r>
        <w:rPr>
          <w:sz w:val="24"/>
          <w:szCs w:val="24"/>
        </w:rPr>
        <w:t xml:space="preserve">на основании </w:t>
      </w:r>
      <w:r w:rsidRPr="005A6EE2">
        <w:rPr>
          <w:color w:val="000000"/>
          <w:sz w:val="24"/>
          <w:szCs w:val="24"/>
        </w:rPr>
        <w:t>Методики прогнозирования поступлений доходов</w:t>
      </w:r>
      <w:r w:rsidR="00232647">
        <w:rPr>
          <w:color w:val="000000"/>
          <w:sz w:val="24"/>
          <w:szCs w:val="24"/>
        </w:rPr>
        <w:t xml:space="preserve">, </w:t>
      </w:r>
      <w:r w:rsidRPr="005A6EE2">
        <w:rPr>
          <w:color w:val="000000"/>
          <w:sz w:val="24"/>
          <w:szCs w:val="24"/>
        </w:rPr>
        <w:t xml:space="preserve"> исходя из размера арендной платы по договорам аренды, действовавшим по состоянию на 15.07.2016, но без учета прогнозируемой к погашению задолженности по арендным платежам и </w:t>
      </w:r>
      <w:r>
        <w:rPr>
          <w:sz w:val="24"/>
          <w:szCs w:val="24"/>
        </w:rPr>
        <w:t xml:space="preserve">повышения размера арендной платы по договорам, заключаемым на новый срок (Методикой не предусмотрена переоценка арендной платы, при этом </w:t>
      </w:r>
      <w:r w:rsidRPr="005A6EE2">
        <w:rPr>
          <w:color w:val="000000"/>
          <w:sz w:val="24"/>
          <w:szCs w:val="24"/>
        </w:rPr>
        <w:t xml:space="preserve">фактически ставка арендной платы по зданиям и помещениям в среднем ежегодно повышается на 5-6%).  </w:t>
      </w:r>
    </w:p>
    <w:p w:rsidR="00220B3F" w:rsidRPr="00A836B5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 w:rsidRPr="005A6EE2">
        <w:rPr>
          <w:color w:val="000000"/>
          <w:sz w:val="24"/>
          <w:szCs w:val="24"/>
        </w:rPr>
        <w:tab/>
        <w:t xml:space="preserve">По </w:t>
      </w:r>
      <w:r>
        <w:rPr>
          <w:sz w:val="24"/>
          <w:szCs w:val="24"/>
        </w:rPr>
        <w:t xml:space="preserve">результатам произведенных Контрольно-счетной палатой проверочных расчетов (с учетом планируемых сроков приватизации находившихся в аренде объектов недвижимости, расторжения в августе текущего года договора аренды с </w:t>
      </w:r>
      <w:r w:rsidRPr="008A1613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r w:rsidRPr="008A1613">
        <w:rPr>
          <w:sz w:val="24"/>
          <w:szCs w:val="24"/>
        </w:rPr>
        <w:t>СМП-95 Инжиниринг</w:t>
      </w:r>
      <w:r>
        <w:rPr>
          <w:sz w:val="24"/>
          <w:szCs w:val="24"/>
        </w:rPr>
        <w:t xml:space="preserve">» и предоставления </w:t>
      </w:r>
      <w:r w:rsidRPr="008D4215">
        <w:rPr>
          <w:sz w:val="24"/>
          <w:szCs w:val="24"/>
        </w:rPr>
        <w:t>нефтян</w:t>
      </w:r>
      <w:r>
        <w:rPr>
          <w:sz w:val="24"/>
          <w:szCs w:val="24"/>
        </w:rPr>
        <w:t>ой</w:t>
      </w:r>
      <w:r w:rsidRPr="008D4215">
        <w:rPr>
          <w:sz w:val="24"/>
          <w:szCs w:val="24"/>
        </w:rPr>
        <w:t xml:space="preserve"> скважин</w:t>
      </w:r>
      <w:r>
        <w:rPr>
          <w:sz w:val="24"/>
          <w:szCs w:val="24"/>
        </w:rPr>
        <w:t xml:space="preserve">ы № </w:t>
      </w:r>
      <w:r w:rsidRPr="008D4215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8D4215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</w:t>
      </w:r>
      <w:r w:rsidRPr="008D4215">
        <w:rPr>
          <w:sz w:val="24"/>
          <w:szCs w:val="24"/>
        </w:rPr>
        <w:t>-Мелимовской площади</w:t>
      </w:r>
      <w:r>
        <w:rPr>
          <w:sz w:val="24"/>
          <w:szCs w:val="24"/>
        </w:rPr>
        <w:t xml:space="preserve"> в аренду только на 4 месяца в 2017 году, а не на весь планируемый трехлетний период, а также с учетом индекса потребительских цен, примененного к ставкам арендной платы по ежегодно перезаключаемым договорам аренды, исходя из количества месяцев действия вновь заключенных договоров), </w:t>
      </w:r>
      <w:r w:rsidRPr="00A836B5">
        <w:rPr>
          <w:b/>
          <w:sz w:val="24"/>
          <w:szCs w:val="24"/>
        </w:rPr>
        <w:t xml:space="preserve">общая планируемая сумма доходов от аренды областного имущества </w:t>
      </w:r>
      <w:r>
        <w:rPr>
          <w:b/>
          <w:sz w:val="24"/>
          <w:szCs w:val="24"/>
        </w:rPr>
        <w:t>на</w:t>
      </w:r>
      <w:r w:rsidRPr="00A836B5">
        <w:rPr>
          <w:b/>
          <w:sz w:val="24"/>
          <w:szCs w:val="24"/>
        </w:rPr>
        <w:t xml:space="preserve"> 2017 год</w:t>
      </w:r>
      <w:r>
        <w:rPr>
          <w:b/>
          <w:sz w:val="24"/>
          <w:szCs w:val="24"/>
        </w:rPr>
        <w:t xml:space="preserve"> может быть</w:t>
      </w:r>
      <w:r w:rsidRPr="00A836B5">
        <w:rPr>
          <w:b/>
          <w:sz w:val="24"/>
          <w:szCs w:val="24"/>
        </w:rPr>
        <w:t xml:space="preserve"> уменьш</w:t>
      </w:r>
      <w:r>
        <w:rPr>
          <w:b/>
          <w:sz w:val="24"/>
          <w:szCs w:val="24"/>
        </w:rPr>
        <w:t>ена</w:t>
      </w:r>
      <w:r w:rsidRPr="00A836B5">
        <w:rPr>
          <w:b/>
          <w:sz w:val="24"/>
          <w:szCs w:val="24"/>
        </w:rPr>
        <w:t xml:space="preserve"> на 3 </w:t>
      </w:r>
      <w:r>
        <w:rPr>
          <w:b/>
          <w:sz w:val="24"/>
          <w:szCs w:val="24"/>
        </w:rPr>
        <w:t>234</w:t>
      </w:r>
      <w:r w:rsidRPr="00A836B5">
        <w:rPr>
          <w:b/>
          <w:sz w:val="24"/>
          <w:szCs w:val="24"/>
        </w:rPr>
        <w:t xml:space="preserve"> тыс.руб. (до 19 </w:t>
      </w:r>
      <w:r>
        <w:rPr>
          <w:b/>
          <w:sz w:val="24"/>
          <w:szCs w:val="24"/>
        </w:rPr>
        <w:t>366</w:t>
      </w:r>
      <w:r w:rsidRPr="00A836B5">
        <w:rPr>
          <w:b/>
          <w:sz w:val="24"/>
          <w:szCs w:val="24"/>
        </w:rPr>
        <w:t xml:space="preserve"> тыс.руб.), 2018 год - на 3 </w:t>
      </w:r>
      <w:r>
        <w:rPr>
          <w:b/>
          <w:sz w:val="24"/>
          <w:szCs w:val="24"/>
        </w:rPr>
        <w:t>634</w:t>
      </w:r>
      <w:r w:rsidRPr="00A836B5">
        <w:rPr>
          <w:b/>
          <w:sz w:val="24"/>
          <w:szCs w:val="24"/>
        </w:rPr>
        <w:t xml:space="preserve"> тыс.руб. (до 1</w:t>
      </w:r>
      <w:r>
        <w:rPr>
          <w:b/>
          <w:sz w:val="24"/>
          <w:szCs w:val="24"/>
        </w:rPr>
        <w:t>8</w:t>
      </w:r>
      <w:r w:rsidRPr="00A836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166</w:t>
      </w:r>
      <w:r w:rsidRPr="00A836B5">
        <w:rPr>
          <w:b/>
          <w:sz w:val="24"/>
          <w:szCs w:val="24"/>
        </w:rPr>
        <w:t xml:space="preserve"> тыс.руб.), 201</w:t>
      </w:r>
      <w:r>
        <w:rPr>
          <w:b/>
          <w:sz w:val="24"/>
          <w:szCs w:val="24"/>
        </w:rPr>
        <w:t>9</w:t>
      </w:r>
      <w:r w:rsidRPr="00A836B5">
        <w:rPr>
          <w:b/>
          <w:sz w:val="24"/>
          <w:szCs w:val="24"/>
        </w:rPr>
        <w:t xml:space="preserve"> год - на 3 </w:t>
      </w:r>
      <w:r>
        <w:rPr>
          <w:b/>
          <w:sz w:val="24"/>
          <w:szCs w:val="24"/>
        </w:rPr>
        <w:t>583</w:t>
      </w:r>
      <w:r w:rsidRPr="00A836B5">
        <w:rPr>
          <w:b/>
          <w:sz w:val="24"/>
          <w:szCs w:val="24"/>
        </w:rPr>
        <w:t xml:space="preserve"> тыс.руб. (до 1</w:t>
      </w:r>
      <w:r>
        <w:rPr>
          <w:b/>
          <w:sz w:val="24"/>
          <w:szCs w:val="24"/>
        </w:rPr>
        <w:t>7</w:t>
      </w:r>
      <w:r w:rsidRPr="00A836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117</w:t>
      </w:r>
      <w:r w:rsidRPr="00A836B5">
        <w:rPr>
          <w:b/>
          <w:sz w:val="24"/>
          <w:szCs w:val="24"/>
        </w:rPr>
        <w:t xml:space="preserve"> тыс.руб.)</w:t>
      </w:r>
      <w:r w:rsidRPr="00A836B5">
        <w:rPr>
          <w:sz w:val="24"/>
          <w:szCs w:val="24"/>
        </w:rPr>
        <w:t>, с разбивкой по кодам бюджетной классификации:</w:t>
      </w:r>
    </w:p>
    <w:p w:rsidR="00220B3F" w:rsidRPr="00A836B5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 w:rsidRPr="00A836B5">
        <w:rPr>
          <w:sz w:val="24"/>
          <w:szCs w:val="24"/>
        </w:rPr>
        <w:tab/>
        <w:t xml:space="preserve">- «Доходы от сдачи в аренду имущества, составляющего казну субъекта РФ (за исключением земельных участков)»: 2017 год - 16 </w:t>
      </w:r>
      <w:r>
        <w:rPr>
          <w:sz w:val="24"/>
          <w:szCs w:val="24"/>
        </w:rPr>
        <w:t>504</w:t>
      </w:r>
      <w:r w:rsidRPr="00A836B5">
        <w:rPr>
          <w:sz w:val="24"/>
          <w:szCs w:val="24"/>
        </w:rPr>
        <w:t xml:space="preserve"> тыс.руб., 2018 год - 1</w:t>
      </w:r>
      <w:r>
        <w:rPr>
          <w:sz w:val="24"/>
          <w:szCs w:val="24"/>
        </w:rPr>
        <w:t>5</w:t>
      </w:r>
      <w:r w:rsidRPr="00A836B5">
        <w:rPr>
          <w:sz w:val="24"/>
          <w:szCs w:val="24"/>
        </w:rPr>
        <w:t xml:space="preserve"> </w:t>
      </w:r>
      <w:r>
        <w:rPr>
          <w:sz w:val="24"/>
          <w:szCs w:val="24"/>
        </w:rPr>
        <w:t>163</w:t>
      </w:r>
      <w:r w:rsidRPr="00A836B5">
        <w:rPr>
          <w:sz w:val="24"/>
          <w:szCs w:val="24"/>
        </w:rPr>
        <w:t xml:space="preserve"> тыс.руб., 2019 год - 13 </w:t>
      </w:r>
      <w:r>
        <w:rPr>
          <w:sz w:val="24"/>
          <w:szCs w:val="24"/>
        </w:rPr>
        <w:t>971</w:t>
      </w:r>
      <w:r w:rsidRPr="00A836B5">
        <w:rPr>
          <w:sz w:val="24"/>
          <w:szCs w:val="24"/>
        </w:rPr>
        <w:t xml:space="preserve"> тыс.руб.;</w:t>
      </w:r>
    </w:p>
    <w:p w:rsidR="00220B3F" w:rsidRDefault="00220B3F" w:rsidP="00220B3F">
      <w:pPr>
        <w:tabs>
          <w:tab w:val="left" w:pos="0"/>
        </w:tabs>
        <w:rPr>
          <w:sz w:val="24"/>
          <w:szCs w:val="24"/>
        </w:rPr>
      </w:pPr>
      <w:r w:rsidRPr="00A836B5">
        <w:rPr>
          <w:sz w:val="24"/>
          <w:szCs w:val="24"/>
        </w:rPr>
        <w:tab/>
        <w:t xml:space="preserve">- «Доходы от сдачи в аренду имущества, находящегося в оперативном управлении органов государственной власти Томской области и созданных ими учреждений (за исключением имущества бюджетных и автономных учреждений)»: 2017 год - 2 </w:t>
      </w:r>
      <w:r>
        <w:rPr>
          <w:sz w:val="24"/>
          <w:szCs w:val="24"/>
        </w:rPr>
        <w:t>862</w:t>
      </w:r>
      <w:r w:rsidRPr="00A836B5">
        <w:rPr>
          <w:sz w:val="24"/>
          <w:szCs w:val="24"/>
        </w:rPr>
        <w:t xml:space="preserve"> тыс.руб., 2018 год </w:t>
      </w:r>
      <w:r>
        <w:rPr>
          <w:sz w:val="24"/>
          <w:szCs w:val="24"/>
        </w:rPr>
        <w:t>-</w:t>
      </w:r>
      <w:r w:rsidRPr="00A836B5">
        <w:rPr>
          <w:sz w:val="24"/>
          <w:szCs w:val="24"/>
        </w:rPr>
        <w:t xml:space="preserve"> </w:t>
      </w:r>
      <w:r>
        <w:rPr>
          <w:sz w:val="24"/>
          <w:szCs w:val="24"/>
        </w:rPr>
        <w:t>3 003</w:t>
      </w:r>
      <w:r w:rsidRPr="00A836B5">
        <w:rPr>
          <w:sz w:val="24"/>
          <w:szCs w:val="24"/>
        </w:rPr>
        <w:t xml:space="preserve"> тыс.руб., 2019 год - 3 </w:t>
      </w:r>
      <w:r>
        <w:rPr>
          <w:sz w:val="24"/>
          <w:szCs w:val="24"/>
        </w:rPr>
        <w:t>146</w:t>
      </w:r>
      <w:r w:rsidRPr="00A836B5">
        <w:rPr>
          <w:sz w:val="24"/>
          <w:szCs w:val="24"/>
        </w:rPr>
        <w:t xml:space="preserve"> тыс.руб.</w:t>
      </w:r>
    </w:p>
    <w:p w:rsidR="00220B3F" w:rsidRDefault="00220B3F" w:rsidP="00220B3F">
      <w:pPr>
        <w:tabs>
          <w:tab w:val="left" w:pos="0"/>
        </w:tabs>
        <w:rPr>
          <w:sz w:val="24"/>
          <w:szCs w:val="24"/>
          <w:highlight w:val="yellow"/>
        </w:rPr>
      </w:pPr>
    </w:p>
    <w:p w:rsidR="00220B3F" w:rsidRPr="004E585B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Ожидаемая </w:t>
      </w:r>
      <w:r>
        <w:rPr>
          <w:sz w:val="24"/>
          <w:szCs w:val="24"/>
        </w:rPr>
        <w:t xml:space="preserve">за текущий год </w:t>
      </w:r>
      <w:r>
        <w:rPr>
          <w:snapToGrid w:val="0"/>
          <w:sz w:val="24"/>
          <w:szCs w:val="24"/>
        </w:rPr>
        <w:t xml:space="preserve">сумма </w:t>
      </w:r>
      <w:r>
        <w:rPr>
          <w:b/>
          <w:sz w:val="24"/>
          <w:szCs w:val="24"/>
        </w:rPr>
        <w:t>д</w:t>
      </w:r>
      <w:r w:rsidRPr="004D67F4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>ов</w:t>
      </w:r>
      <w:r w:rsidRPr="004D67F4">
        <w:rPr>
          <w:b/>
          <w:sz w:val="24"/>
          <w:szCs w:val="24"/>
        </w:rPr>
        <w:t xml:space="preserve"> от перечисления части прибыли,</w:t>
      </w:r>
      <w:r w:rsidRPr="004D67F4">
        <w:rPr>
          <w:sz w:val="24"/>
          <w:szCs w:val="24"/>
        </w:rPr>
        <w:t xml:space="preserve"> </w:t>
      </w:r>
      <w:r w:rsidRPr="004D67F4">
        <w:rPr>
          <w:b/>
          <w:sz w:val="24"/>
          <w:szCs w:val="24"/>
        </w:rPr>
        <w:t>остающейся после уплаты налогов и иных обязательных платежей областных государственных унитарных предприятий</w:t>
      </w:r>
      <w:r w:rsidRPr="004D67F4">
        <w:rPr>
          <w:sz w:val="24"/>
          <w:szCs w:val="24"/>
        </w:rPr>
        <w:t xml:space="preserve">, </w:t>
      </w:r>
      <w:r>
        <w:rPr>
          <w:sz w:val="24"/>
          <w:szCs w:val="24"/>
        </w:rPr>
        <w:t>по материалам к законопроекту составляет 11 329 тыс.руб.</w:t>
      </w:r>
      <w:r w:rsidR="002944E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или 72% от плана. З</w:t>
      </w:r>
      <w:r w:rsidRPr="00E57E04">
        <w:rPr>
          <w:sz w:val="24"/>
          <w:szCs w:val="24"/>
        </w:rPr>
        <w:t>а 9 месяцев 201</w:t>
      </w:r>
      <w:r>
        <w:rPr>
          <w:sz w:val="24"/>
          <w:szCs w:val="24"/>
        </w:rPr>
        <w:t>6</w:t>
      </w:r>
      <w:r w:rsidRPr="00E57E04">
        <w:rPr>
          <w:sz w:val="24"/>
          <w:szCs w:val="24"/>
        </w:rPr>
        <w:t xml:space="preserve"> года по данному источнику неналоговых доходов в областной бюджет поступило </w:t>
      </w:r>
      <w:r>
        <w:rPr>
          <w:sz w:val="24"/>
          <w:szCs w:val="24"/>
        </w:rPr>
        <w:t>10 051</w:t>
      </w:r>
      <w:r w:rsidRPr="00E57E04">
        <w:rPr>
          <w:sz w:val="24"/>
          <w:szCs w:val="24"/>
        </w:rPr>
        <w:t xml:space="preserve"> тыс.руб., </w:t>
      </w:r>
      <w:r>
        <w:rPr>
          <w:sz w:val="24"/>
          <w:szCs w:val="24"/>
        </w:rPr>
        <w:t xml:space="preserve">прогноз поступлений </w:t>
      </w:r>
      <w:r w:rsidRPr="00E57E04">
        <w:rPr>
          <w:sz w:val="24"/>
          <w:szCs w:val="24"/>
        </w:rPr>
        <w:t xml:space="preserve">в 4 квартале </w:t>
      </w:r>
      <w:r>
        <w:rPr>
          <w:sz w:val="24"/>
          <w:szCs w:val="24"/>
        </w:rPr>
        <w:t>исходя из сведений, предоставленных областными государственными унитарными предприятиями</w:t>
      </w:r>
      <w:r w:rsidR="002944E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- 2 079 тыс.руб. (</w:t>
      </w:r>
      <w:r w:rsidRPr="00E57E04">
        <w:rPr>
          <w:sz w:val="24"/>
          <w:szCs w:val="24"/>
        </w:rPr>
        <w:t xml:space="preserve">ГУП ТО «Областное ДРСУ» </w:t>
      </w:r>
      <w:r>
        <w:rPr>
          <w:sz w:val="24"/>
          <w:szCs w:val="24"/>
        </w:rPr>
        <w:t>-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1 379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тыс.руб., ОГУП «Кожевниковское ДРСУ» - 600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r w:rsidRPr="00E57E04">
        <w:rPr>
          <w:sz w:val="24"/>
          <w:szCs w:val="24"/>
        </w:rPr>
        <w:t>.руб.</w:t>
      </w:r>
      <w:r>
        <w:rPr>
          <w:sz w:val="24"/>
          <w:szCs w:val="24"/>
        </w:rPr>
        <w:t>, ОГУП «Областной аптечный склад» - 100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тыс.руб.). Таким образом, уточненное ожидаемое исполнение неналоговых доходов </w:t>
      </w:r>
      <w:r w:rsidRPr="0009660E">
        <w:rPr>
          <w:sz w:val="24"/>
          <w:szCs w:val="24"/>
        </w:rPr>
        <w:t xml:space="preserve">от перечисления части прибыли, остающейся после уплаты налогов и иных обязательных платежей </w:t>
      </w:r>
      <w:r>
        <w:rPr>
          <w:sz w:val="24"/>
          <w:szCs w:val="24"/>
        </w:rPr>
        <w:t>ОГУП</w:t>
      </w:r>
      <w:r w:rsidRPr="00DB6949">
        <w:rPr>
          <w:sz w:val="24"/>
          <w:szCs w:val="24"/>
        </w:rPr>
        <w:t xml:space="preserve">, за </w:t>
      </w:r>
      <w:r>
        <w:rPr>
          <w:sz w:val="24"/>
          <w:szCs w:val="24"/>
        </w:rPr>
        <w:t>2016</w:t>
      </w:r>
      <w:r w:rsidRPr="00DB6949">
        <w:rPr>
          <w:sz w:val="24"/>
          <w:szCs w:val="24"/>
        </w:rPr>
        <w:t xml:space="preserve"> год состав</w:t>
      </w:r>
      <w:r>
        <w:rPr>
          <w:sz w:val="24"/>
          <w:szCs w:val="24"/>
        </w:rPr>
        <w:t>ит</w:t>
      </w:r>
      <w:r w:rsidRPr="00DB6949">
        <w:rPr>
          <w:sz w:val="24"/>
          <w:szCs w:val="24"/>
        </w:rPr>
        <w:t xml:space="preserve"> 12</w:t>
      </w:r>
      <w:r>
        <w:rPr>
          <w:sz w:val="24"/>
          <w:szCs w:val="24"/>
        </w:rPr>
        <w:t> </w:t>
      </w:r>
      <w:r w:rsidRPr="00DB6949">
        <w:rPr>
          <w:sz w:val="24"/>
          <w:szCs w:val="24"/>
        </w:rPr>
        <w:t>130</w:t>
      </w:r>
      <w:r>
        <w:rPr>
          <w:sz w:val="24"/>
          <w:szCs w:val="24"/>
        </w:rPr>
        <w:t xml:space="preserve"> тыс.руб.</w:t>
      </w:r>
      <w:r w:rsidR="002944E6">
        <w:rPr>
          <w:sz w:val="24"/>
          <w:szCs w:val="24"/>
        </w:rPr>
        <w:t xml:space="preserve">, </w:t>
      </w:r>
      <w:r w:rsidRPr="00DB6949">
        <w:rPr>
          <w:sz w:val="24"/>
          <w:szCs w:val="24"/>
        </w:rPr>
        <w:t xml:space="preserve"> или 77% от плана</w:t>
      </w:r>
      <w:r>
        <w:rPr>
          <w:sz w:val="24"/>
          <w:szCs w:val="24"/>
        </w:rPr>
        <w:t xml:space="preserve"> (15 767 тыс.руб.). Вероятное неисполнение бюджетных назначений в сумме 3 637</w:t>
      </w:r>
      <w:r w:rsidRPr="004E585B">
        <w:rPr>
          <w:sz w:val="24"/>
          <w:szCs w:val="24"/>
        </w:rPr>
        <w:t xml:space="preserve"> тыс.руб.</w:t>
      </w:r>
      <w:r>
        <w:rPr>
          <w:sz w:val="24"/>
          <w:szCs w:val="24"/>
        </w:rPr>
        <w:t xml:space="preserve"> обусловлено следующими причинами</w:t>
      </w:r>
      <w:r w:rsidRPr="004E585B">
        <w:rPr>
          <w:sz w:val="24"/>
          <w:szCs w:val="24"/>
        </w:rPr>
        <w:t>:</w:t>
      </w:r>
    </w:p>
    <w:p w:rsidR="00220B3F" w:rsidRPr="004E585B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 w:rsidRPr="004E585B">
        <w:rPr>
          <w:sz w:val="24"/>
          <w:szCs w:val="24"/>
        </w:rPr>
        <w:t>- 1 9</w:t>
      </w:r>
      <w:r>
        <w:rPr>
          <w:sz w:val="24"/>
          <w:szCs w:val="24"/>
        </w:rPr>
        <w:t>16</w:t>
      </w:r>
      <w:r w:rsidRPr="004E585B">
        <w:rPr>
          <w:sz w:val="24"/>
          <w:szCs w:val="24"/>
        </w:rPr>
        <w:t xml:space="preserve"> тыс.руб. </w:t>
      </w:r>
      <w:r>
        <w:rPr>
          <w:sz w:val="24"/>
          <w:szCs w:val="24"/>
        </w:rPr>
        <w:t>-</w:t>
      </w:r>
      <w:r w:rsidRPr="004E585B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</w:t>
      </w:r>
      <w:r w:rsidRPr="004E585B">
        <w:rPr>
          <w:sz w:val="24"/>
          <w:szCs w:val="24"/>
        </w:rPr>
        <w:t xml:space="preserve"> неисполнени</w:t>
      </w:r>
      <w:r>
        <w:rPr>
          <w:sz w:val="24"/>
          <w:szCs w:val="24"/>
        </w:rPr>
        <w:t>ем</w:t>
      </w:r>
      <w:r w:rsidRPr="004E585B">
        <w:rPr>
          <w:sz w:val="24"/>
          <w:szCs w:val="24"/>
        </w:rPr>
        <w:t xml:space="preserve"> основных показателей финансово-хозяйственной деятельности ОГУП «Томский областной центр технической инвентаризации» (выручка</w:t>
      </w:r>
      <w:r>
        <w:rPr>
          <w:sz w:val="24"/>
          <w:szCs w:val="24"/>
        </w:rPr>
        <w:t xml:space="preserve"> от продаж</w:t>
      </w:r>
      <w:r w:rsidRPr="004E585B">
        <w:rPr>
          <w:sz w:val="24"/>
          <w:szCs w:val="24"/>
        </w:rPr>
        <w:t>, себестоимость, прибыль</w:t>
      </w:r>
      <w:r>
        <w:rPr>
          <w:sz w:val="24"/>
          <w:szCs w:val="24"/>
        </w:rPr>
        <w:t>,</w:t>
      </w:r>
      <w:r w:rsidRPr="004E585B">
        <w:rPr>
          <w:sz w:val="24"/>
          <w:szCs w:val="24"/>
        </w:rPr>
        <w:t xml:space="preserve"> рентабельность продаж), предусмотренных как перспективным планом деятельности, так и утвержденной программой ФХД данного предприятия на 201</w:t>
      </w:r>
      <w:r>
        <w:rPr>
          <w:sz w:val="24"/>
          <w:szCs w:val="24"/>
        </w:rPr>
        <w:t>6 год, и ожидаемыми убытками по результатам деятельности за текущий год вместо планировавшейся чистой прибыли;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- 3 207 тыс.руб. - в связи с меньшими, чем планировалось, объемами выручки от продаж и прибыли к налогообложению </w:t>
      </w:r>
      <w:r w:rsidRPr="00DB6949">
        <w:rPr>
          <w:sz w:val="24"/>
          <w:szCs w:val="24"/>
        </w:rPr>
        <w:t>ГУП ТО «Областное ДРСУ»</w:t>
      </w:r>
      <w:r>
        <w:rPr>
          <w:sz w:val="24"/>
          <w:szCs w:val="24"/>
        </w:rPr>
        <w:t xml:space="preserve"> по причине недостаточно качественного планирования, а также в связи со списанием части убытков прошлых лет, выявленных в 2015 году по результатам проведенной предприятием </w:t>
      </w:r>
      <w:r w:rsidRPr="00B8623D">
        <w:rPr>
          <w:sz w:val="24"/>
          <w:szCs w:val="24"/>
        </w:rPr>
        <w:t xml:space="preserve">инвентаризации (в 2017 году планируется списание оставшейся </w:t>
      </w:r>
      <w:r>
        <w:rPr>
          <w:sz w:val="24"/>
          <w:szCs w:val="24"/>
        </w:rPr>
        <w:t>суммы убытков прошлых лет</w:t>
      </w:r>
      <w:r w:rsidRPr="00B8623D">
        <w:rPr>
          <w:sz w:val="24"/>
          <w:szCs w:val="24"/>
        </w:rPr>
        <w:t xml:space="preserve">), </w:t>
      </w:r>
      <w:r>
        <w:rPr>
          <w:sz w:val="24"/>
          <w:szCs w:val="24"/>
        </w:rPr>
        <w:t>и соответственно меньшим (на 27%) объемом перечисления части прибыли в областной бюджет, чем включено в бюджетное задание;</w:t>
      </w: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- 1 486 тыс.руб. - в связи с увеличением по сравнению с планом двумя областными унитарными предприятиями прогнозируемого объема перечислений в областной бюджет части прибыли (</w:t>
      </w:r>
      <w:r w:rsidRPr="00E57E04">
        <w:rPr>
          <w:sz w:val="24"/>
          <w:szCs w:val="24"/>
        </w:rPr>
        <w:t>ОГУП «Областной аптечный склад»</w:t>
      </w:r>
      <w:r>
        <w:rPr>
          <w:sz w:val="24"/>
          <w:szCs w:val="24"/>
        </w:rPr>
        <w:t xml:space="preserve"> - на 1 051 тыс.руб., </w:t>
      </w:r>
      <w:r w:rsidRPr="00E57E04">
        <w:rPr>
          <w:sz w:val="24"/>
          <w:szCs w:val="24"/>
        </w:rPr>
        <w:t>ОГУП «Кожевниковское ДРСУ</w:t>
      </w:r>
      <w:r>
        <w:rPr>
          <w:sz w:val="24"/>
          <w:szCs w:val="24"/>
        </w:rPr>
        <w:t>» - 435 тыс.руб.) по причине низкого качества планирования показателей перспективных планов, принятых при утверждении бюджетного задания (налогооблагаемая база для исчисления части прибыли при утверждении программ ФХД указанных предприятий увеличена по сравнению с перспективными планами по ОГУП «Областной аптечный склад» в 2 раза, по ОГУП «Кожевниковское ДРСУ» - в 1,5 раза).</w:t>
      </w:r>
    </w:p>
    <w:p w:rsidR="00220B3F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Прогнозируемое поступление доходов по данному источнику неналоговых доходов на 2017-2019 г.г. определено в соответствии с </w:t>
      </w:r>
      <w:r w:rsidRPr="005A6EE2">
        <w:rPr>
          <w:color w:val="000000"/>
          <w:sz w:val="24"/>
          <w:szCs w:val="24"/>
        </w:rPr>
        <w:t>Методикой прогнозирования поступлений доходов</w:t>
      </w:r>
      <w:r w:rsidR="002944E6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5335C">
        <w:rPr>
          <w:sz w:val="24"/>
          <w:szCs w:val="24"/>
        </w:rPr>
        <w:t>исходя из</w:t>
      </w:r>
      <w:r>
        <w:rPr>
          <w:sz w:val="24"/>
          <w:szCs w:val="24"/>
        </w:rPr>
        <w:t xml:space="preserve"> количества областных государственных унитарных предприятий, планирующих получение чистой прибыли в прогнозируемом периоде, объемов прибыли и налогов, предусмотренных перспективными планами предприятий на 2017-2019 годы. Задолженность ОГУП «Первомайское ДРСУ» по перечислению в областной бюджет части прибыли в сумме 582,8 тыс.руб. в расчет не принята, так как в связи с ликвидацией предприятия не планируется</w:t>
      </w:r>
      <w:r w:rsidRPr="006E39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погашению. </w:t>
      </w:r>
    </w:p>
    <w:p w:rsidR="00220B3F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Прогноз доходов по данному источнику н</w:t>
      </w:r>
      <w:r w:rsidRPr="00E57E04">
        <w:rPr>
          <w:sz w:val="24"/>
          <w:szCs w:val="24"/>
        </w:rPr>
        <w:t>а 201</w:t>
      </w:r>
      <w:r>
        <w:rPr>
          <w:sz w:val="24"/>
          <w:szCs w:val="24"/>
        </w:rPr>
        <w:t>7</w:t>
      </w:r>
      <w:r w:rsidRPr="00E57E04">
        <w:rPr>
          <w:sz w:val="24"/>
          <w:szCs w:val="24"/>
        </w:rPr>
        <w:t xml:space="preserve"> год </w:t>
      </w:r>
      <w:r>
        <w:rPr>
          <w:sz w:val="24"/>
          <w:szCs w:val="24"/>
        </w:rPr>
        <w:t>определен</w:t>
      </w:r>
      <w:r w:rsidRPr="00E57E04">
        <w:rPr>
          <w:sz w:val="24"/>
          <w:szCs w:val="24"/>
        </w:rPr>
        <w:t xml:space="preserve"> по </w:t>
      </w:r>
      <w:r>
        <w:rPr>
          <w:sz w:val="24"/>
          <w:szCs w:val="24"/>
        </w:rPr>
        <w:t>тре</w:t>
      </w:r>
      <w:r w:rsidRPr="00E57E04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унитарным </w:t>
      </w:r>
      <w:r w:rsidRPr="00E57E04">
        <w:rPr>
          <w:sz w:val="24"/>
          <w:szCs w:val="24"/>
        </w:rPr>
        <w:t xml:space="preserve">предприятиям (ГУП ТО «Областное ДРСУ», ОГУП «Кожевниковское ДРСУ», ОГУП «Областной аптечный склад») в общей сумме </w:t>
      </w:r>
      <w:r>
        <w:rPr>
          <w:sz w:val="24"/>
          <w:szCs w:val="24"/>
        </w:rPr>
        <w:t>7 532</w:t>
      </w:r>
      <w:r w:rsidRPr="00E57E04">
        <w:rPr>
          <w:sz w:val="24"/>
          <w:szCs w:val="24"/>
        </w:rPr>
        <w:t xml:space="preserve"> тыс.руб., что </w:t>
      </w:r>
      <w:r>
        <w:rPr>
          <w:sz w:val="24"/>
          <w:szCs w:val="24"/>
        </w:rPr>
        <w:t>составляет 62% от ожидаемого исполнения за</w:t>
      </w:r>
      <w:r w:rsidRPr="00E57E04">
        <w:rPr>
          <w:sz w:val="24"/>
          <w:szCs w:val="24"/>
        </w:rPr>
        <w:t xml:space="preserve"> 201</w:t>
      </w:r>
      <w:r>
        <w:rPr>
          <w:sz w:val="24"/>
          <w:szCs w:val="24"/>
        </w:rPr>
        <w:t>6 год. Объем д</w:t>
      </w:r>
      <w:r w:rsidRPr="00E57E04">
        <w:rPr>
          <w:sz w:val="24"/>
          <w:szCs w:val="24"/>
        </w:rPr>
        <w:t>оход</w:t>
      </w:r>
      <w:r>
        <w:rPr>
          <w:sz w:val="24"/>
          <w:szCs w:val="24"/>
        </w:rPr>
        <w:t>ов</w:t>
      </w:r>
      <w:r w:rsidRPr="00E57E04">
        <w:rPr>
          <w:sz w:val="24"/>
          <w:szCs w:val="24"/>
        </w:rPr>
        <w:t xml:space="preserve"> от перечисления части прибыли</w:t>
      </w:r>
      <w:r w:rsidRPr="001B2345">
        <w:rPr>
          <w:sz w:val="24"/>
          <w:szCs w:val="24"/>
        </w:rPr>
        <w:t xml:space="preserve"> </w:t>
      </w:r>
      <w:r w:rsidRPr="00E57E04">
        <w:rPr>
          <w:sz w:val="24"/>
          <w:szCs w:val="24"/>
        </w:rPr>
        <w:t>ГУП ТО «Областное ДРСУ»</w:t>
      </w:r>
      <w:r>
        <w:rPr>
          <w:sz w:val="24"/>
          <w:szCs w:val="24"/>
        </w:rPr>
        <w:t xml:space="preserve">, </w:t>
      </w:r>
      <w:r w:rsidRPr="00E57E04">
        <w:rPr>
          <w:sz w:val="24"/>
          <w:szCs w:val="24"/>
        </w:rPr>
        <w:t>составля</w:t>
      </w:r>
      <w:r>
        <w:rPr>
          <w:sz w:val="24"/>
          <w:szCs w:val="24"/>
        </w:rPr>
        <w:t>ющий о</w:t>
      </w:r>
      <w:r w:rsidRPr="00E57E04">
        <w:rPr>
          <w:sz w:val="24"/>
          <w:szCs w:val="24"/>
        </w:rPr>
        <w:t>сновную долю</w:t>
      </w:r>
      <w:r>
        <w:rPr>
          <w:sz w:val="24"/>
          <w:szCs w:val="24"/>
        </w:rPr>
        <w:t xml:space="preserve"> данного источника неналоговых доходов</w:t>
      </w:r>
      <w:r w:rsidRPr="00E57E04">
        <w:rPr>
          <w:sz w:val="24"/>
          <w:szCs w:val="24"/>
        </w:rPr>
        <w:t xml:space="preserve"> (</w:t>
      </w:r>
      <w:r>
        <w:rPr>
          <w:sz w:val="24"/>
          <w:szCs w:val="24"/>
        </w:rPr>
        <w:t>69</w:t>
      </w:r>
      <w:r w:rsidRPr="00E57E04">
        <w:rPr>
          <w:sz w:val="24"/>
          <w:szCs w:val="24"/>
        </w:rPr>
        <w:t>%</w:t>
      </w:r>
      <w:r w:rsidR="002944E6">
        <w:rPr>
          <w:sz w:val="24"/>
          <w:szCs w:val="24"/>
        </w:rPr>
        <w:t xml:space="preserve">, </w:t>
      </w:r>
      <w:r w:rsidRPr="00E57E04">
        <w:rPr>
          <w:sz w:val="24"/>
          <w:szCs w:val="24"/>
        </w:rPr>
        <w:t xml:space="preserve"> или </w:t>
      </w:r>
      <w:r>
        <w:rPr>
          <w:sz w:val="24"/>
          <w:szCs w:val="24"/>
        </w:rPr>
        <w:t>5 174</w:t>
      </w:r>
      <w:r w:rsidRPr="00E57E04">
        <w:rPr>
          <w:sz w:val="24"/>
          <w:szCs w:val="24"/>
        </w:rPr>
        <w:t xml:space="preserve"> тыс.руб.)</w:t>
      </w:r>
      <w:r>
        <w:rPr>
          <w:sz w:val="24"/>
          <w:szCs w:val="24"/>
        </w:rPr>
        <w:t xml:space="preserve">, прогнозируется </w:t>
      </w:r>
      <w:r w:rsidRPr="00E57E04"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снижением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на 41%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к ожидаемому объему перечислений части прибыли данного предприятия в</w:t>
      </w:r>
      <w:r w:rsidRPr="00E57E04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E57E04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E57E04">
        <w:rPr>
          <w:sz w:val="24"/>
          <w:szCs w:val="24"/>
        </w:rPr>
        <w:t xml:space="preserve"> (</w:t>
      </w:r>
      <w:r>
        <w:rPr>
          <w:sz w:val="24"/>
          <w:szCs w:val="24"/>
        </w:rPr>
        <w:t>8 761</w:t>
      </w:r>
      <w:r w:rsidRPr="00E57E04">
        <w:rPr>
          <w:sz w:val="24"/>
          <w:szCs w:val="24"/>
        </w:rPr>
        <w:t xml:space="preserve"> тыс.руб.).</w:t>
      </w:r>
      <w:r>
        <w:rPr>
          <w:sz w:val="24"/>
          <w:szCs w:val="24"/>
        </w:rPr>
        <w:t xml:space="preserve"> Прогноз перечислений части прибыли </w:t>
      </w:r>
      <w:r w:rsidRPr="00E57E04">
        <w:rPr>
          <w:sz w:val="24"/>
          <w:szCs w:val="24"/>
        </w:rPr>
        <w:t>ОГУП «Кожевниковское ДРСУ»</w:t>
      </w:r>
      <w:r>
        <w:rPr>
          <w:sz w:val="24"/>
          <w:szCs w:val="24"/>
        </w:rPr>
        <w:t xml:space="preserve"> и</w:t>
      </w:r>
      <w:r w:rsidRPr="00E57E04">
        <w:rPr>
          <w:sz w:val="24"/>
          <w:szCs w:val="24"/>
        </w:rPr>
        <w:t xml:space="preserve"> ОГУП «Областной аптечный склад»</w:t>
      </w:r>
      <w:r>
        <w:rPr>
          <w:sz w:val="24"/>
          <w:szCs w:val="24"/>
        </w:rPr>
        <w:t xml:space="preserve"> предусмотрен с увеличением к плану 2016 года соответственно на 7% и в 2 раза. </w:t>
      </w:r>
    </w:p>
    <w:p w:rsidR="00220B3F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Перечисление части прибыли в областной бюджет ОГУП «Томский областной центр технической инвентаризации» не планирует, согласно перспективному плану его развития на 2017-2019 г.г. предусмотрено получение убытков в связи со снижением спроса на такие виды деятельности, как техническая инвентаризация, оценка, строительно-техническая экспертиза и межевые работы.</w:t>
      </w:r>
    </w:p>
    <w:p w:rsidR="00220B3F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 w:rsidRPr="00E57E04">
        <w:rPr>
          <w:sz w:val="24"/>
          <w:szCs w:val="24"/>
        </w:rPr>
        <w:t xml:space="preserve">Прогноз доходов от перечисления части прибыли, остающейся после уплаты налогов и иных обязательных платежей </w:t>
      </w:r>
      <w:r>
        <w:rPr>
          <w:sz w:val="24"/>
          <w:szCs w:val="24"/>
        </w:rPr>
        <w:t>ОГУП</w:t>
      </w:r>
      <w:r w:rsidRPr="00E57E04">
        <w:rPr>
          <w:sz w:val="24"/>
          <w:szCs w:val="24"/>
        </w:rPr>
        <w:t>, на 201</w:t>
      </w:r>
      <w:r>
        <w:rPr>
          <w:sz w:val="24"/>
          <w:szCs w:val="24"/>
        </w:rPr>
        <w:t>8</w:t>
      </w:r>
      <w:r w:rsidRPr="00E57E04">
        <w:rPr>
          <w:sz w:val="24"/>
          <w:szCs w:val="24"/>
        </w:rPr>
        <w:t xml:space="preserve"> год </w:t>
      </w:r>
      <w:r>
        <w:rPr>
          <w:sz w:val="24"/>
          <w:szCs w:val="24"/>
        </w:rPr>
        <w:t>-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7 577</w:t>
      </w:r>
      <w:r w:rsidRPr="00E57E04">
        <w:rPr>
          <w:sz w:val="24"/>
          <w:szCs w:val="24"/>
        </w:rPr>
        <w:t xml:space="preserve"> тыс.руб. (</w:t>
      </w:r>
      <w:r>
        <w:rPr>
          <w:sz w:val="24"/>
          <w:szCs w:val="24"/>
        </w:rPr>
        <w:t>увеличение</w:t>
      </w:r>
      <w:r w:rsidRPr="00E57E04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прогнозному </w:t>
      </w:r>
      <w:r w:rsidRPr="00E57E04">
        <w:rPr>
          <w:sz w:val="24"/>
          <w:szCs w:val="24"/>
        </w:rPr>
        <w:t>уровню 201</w:t>
      </w:r>
      <w:r>
        <w:rPr>
          <w:sz w:val="24"/>
          <w:szCs w:val="24"/>
        </w:rPr>
        <w:t>7</w:t>
      </w:r>
      <w:r w:rsidRPr="00E57E04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45 тыс.руб.</w:t>
      </w:r>
      <w:r w:rsidRPr="00E57E04">
        <w:rPr>
          <w:sz w:val="24"/>
          <w:szCs w:val="24"/>
        </w:rPr>
        <w:t>), на 201</w:t>
      </w:r>
      <w:r>
        <w:rPr>
          <w:sz w:val="24"/>
          <w:szCs w:val="24"/>
        </w:rPr>
        <w:t>9</w:t>
      </w:r>
      <w:r w:rsidRPr="00E57E04">
        <w:rPr>
          <w:sz w:val="24"/>
          <w:szCs w:val="24"/>
        </w:rPr>
        <w:t xml:space="preserve"> год </w:t>
      </w:r>
      <w:r>
        <w:rPr>
          <w:sz w:val="24"/>
          <w:szCs w:val="24"/>
        </w:rPr>
        <w:t>-</w:t>
      </w:r>
      <w:r w:rsidRPr="00E57E04">
        <w:rPr>
          <w:sz w:val="24"/>
          <w:szCs w:val="24"/>
        </w:rPr>
        <w:t xml:space="preserve"> </w:t>
      </w:r>
      <w:r>
        <w:rPr>
          <w:sz w:val="24"/>
          <w:szCs w:val="24"/>
        </w:rPr>
        <w:t>8 405</w:t>
      </w:r>
      <w:r w:rsidRPr="00E57E04">
        <w:rPr>
          <w:sz w:val="24"/>
          <w:szCs w:val="24"/>
        </w:rPr>
        <w:t xml:space="preserve"> тыс.руб. (увеличение </w:t>
      </w:r>
      <w:r>
        <w:rPr>
          <w:sz w:val="24"/>
          <w:szCs w:val="24"/>
        </w:rPr>
        <w:t xml:space="preserve">к уровню 2018 году - </w:t>
      </w:r>
      <w:r w:rsidRPr="00E57E04">
        <w:rPr>
          <w:sz w:val="24"/>
          <w:szCs w:val="24"/>
        </w:rPr>
        <w:t xml:space="preserve">на </w:t>
      </w:r>
      <w:r>
        <w:rPr>
          <w:sz w:val="24"/>
          <w:szCs w:val="24"/>
        </w:rPr>
        <w:t>828 тыс.руб.</w:t>
      </w:r>
      <w:r w:rsidRPr="00E57E04">
        <w:rPr>
          <w:sz w:val="24"/>
          <w:szCs w:val="24"/>
        </w:rPr>
        <w:t xml:space="preserve"> или на </w:t>
      </w:r>
      <w:r>
        <w:rPr>
          <w:sz w:val="24"/>
          <w:szCs w:val="24"/>
        </w:rPr>
        <w:t>11</w:t>
      </w:r>
      <w:r w:rsidRPr="00E57E04">
        <w:rPr>
          <w:sz w:val="24"/>
          <w:szCs w:val="24"/>
        </w:rPr>
        <w:t>%).</w:t>
      </w:r>
    </w:p>
    <w:p w:rsidR="00220B3F" w:rsidRPr="005A6EE2" w:rsidRDefault="00220B3F" w:rsidP="00220B3F">
      <w:pPr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>Кроме того, отметим, что Методикой прогнозирования поступлений доходов в областной бюджет, главным администратором которых является Департамент по управлению государственной собственностью Томской области</w:t>
      </w:r>
      <w:r w:rsidRPr="00D70942">
        <w:rPr>
          <w:snapToGrid w:val="0"/>
          <w:sz w:val="24"/>
          <w:szCs w:val="24"/>
        </w:rPr>
        <w:t xml:space="preserve">, </w:t>
      </w:r>
      <w:r w:rsidRPr="005A6EE2">
        <w:rPr>
          <w:color w:val="000000"/>
          <w:sz w:val="24"/>
          <w:szCs w:val="24"/>
        </w:rPr>
        <w:t>утвержденной приказом Департамента от 02.09.2016 № 57, не предусмотрено:</w:t>
      </w:r>
    </w:p>
    <w:p w:rsidR="00220B3F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в части доходов от перечисления прибыли, остающейся после уплаты налогов и иных обязательных платежей ОГУП - порядок уточнения суммы доходов после</w:t>
      </w:r>
      <w:r w:rsidRPr="00C16F57">
        <w:rPr>
          <w:sz w:val="24"/>
          <w:szCs w:val="24"/>
        </w:rPr>
        <w:t xml:space="preserve"> </w:t>
      </w:r>
      <w:r w:rsidRPr="00A031E7">
        <w:rPr>
          <w:sz w:val="24"/>
          <w:szCs w:val="24"/>
        </w:rPr>
        <w:t xml:space="preserve">утверждения программ финансово-хозяйственной деятельности </w:t>
      </w:r>
      <w:r>
        <w:rPr>
          <w:sz w:val="24"/>
          <w:szCs w:val="24"/>
        </w:rPr>
        <w:t xml:space="preserve">ОГУП на плановый период, а также </w:t>
      </w:r>
      <w:r w:rsidRPr="001E41DF">
        <w:rPr>
          <w:sz w:val="24"/>
          <w:szCs w:val="24"/>
        </w:rPr>
        <w:t xml:space="preserve">полный состав источников данных в </w:t>
      </w:r>
      <w:r>
        <w:rPr>
          <w:sz w:val="24"/>
          <w:szCs w:val="24"/>
        </w:rPr>
        <w:t>отношении</w:t>
      </w:r>
      <w:r w:rsidRPr="001E41DF">
        <w:rPr>
          <w:sz w:val="24"/>
          <w:szCs w:val="24"/>
        </w:rPr>
        <w:t xml:space="preserve"> задолженности, прогнозируемой к погашению в соответствующем финансовом году</w:t>
      </w:r>
      <w:r>
        <w:rPr>
          <w:sz w:val="24"/>
          <w:szCs w:val="24"/>
        </w:rPr>
        <w:t>;</w:t>
      </w:r>
    </w:p>
    <w:p w:rsidR="00220B3F" w:rsidRDefault="00220B3F" w:rsidP="00220B3F">
      <w:pPr>
        <w:tabs>
          <w:tab w:val="left" w:pos="0"/>
        </w:tabs>
        <w:ind w:firstLine="709"/>
        <w:rPr>
          <w:sz w:val="24"/>
          <w:szCs w:val="24"/>
        </w:rPr>
      </w:pPr>
      <w:r w:rsidRPr="005A6EE2">
        <w:rPr>
          <w:color w:val="000000"/>
          <w:sz w:val="24"/>
          <w:szCs w:val="24"/>
        </w:rPr>
        <w:t>- в части доходов, получаемых в виде арендной платы, а также средств от продажи права на заключение договоров аренды за земли, находящиеся в собственности субъектов РФ, и доходов от сдачи в аренду имущества, находящегося в оперативном управлении органов госвласти субъектов РФ и созданных ими учреждений</w:t>
      </w:r>
      <w:r w:rsidR="002944E6">
        <w:rPr>
          <w:color w:val="000000"/>
          <w:sz w:val="24"/>
          <w:szCs w:val="24"/>
        </w:rPr>
        <w:t>,</w:t>
      </w:r>
      <w:r w:rsidRPr="005A6EE2">
        <w:rPr>
          <w:color w:val="000000"/>
          <w:sz w:val="24"/>
          <w:szCs w:val="24"/>
        </w:rPr>
        <w:t xml:space="preserve"> - порядок расчета доходов по договорам аренды, планируемым к расторжению и заключению в плановой периоде, </w:t>
      </w:r>
      <w:r>
        <w:rPr>
          <w:sz w:val="24"/>
          <w:szCs w:val="24"/>
        </w:rPr>
        <w:t xml:space="preserve">прогнозируемое увеличение размера арендной платы в связи с переоценкой в планируемом периоде с </w:t>
      </w:r>
      <w:r w:rsidRPr="001E41DF">
        <w:rPr>
          <w:sz w:val="24"/>
          <w:szCs w:val="24"/>
        </w:rPr>
        <w:t>применение</w:t>
      </w:r>
      <w:r>
        <w:rPr>
          <w:sz w:val="24"/>
          <w:szCs w:val="24"/>
        </w:rPr>
        <w:t>м</w:t>
      </w:r>
      <w:r w:rsidRPr="001E41DF">
        <w:rPr>
          <w:sz w:val="24"/>
          <w:szCs w:val="24"/>
        </w:rPr>
        <w:t xml:space="preserve"> индекса потребительских цен</w:t>
      </w:r>
      <w:r>
        <w:rPr>
          <w:sz w:val="24"/>
          <w:szCs w:val="24"/>
        </w:rPr>
        <w:t>, а также</w:t>
      </w:r>
      <w:r w:rsidRPr="005A6EE2">
        <w:rPr>
          <w:color w:val="000000"/>
          <w:sz w:val="24"/>
          <w:szCs w:val="24"/>
        </w:rPr>
        <w:t xml:space="preserve"> </w:t>
      </w:r>
      <w:r w:rsidRPr="001E41DF">
        <w:rPr>
          <w:sz w:val="24"/>
          <w:szCs w:val="24"/>
        </w:rPr>
        <w:t xml:space="preserve">полный состав источников данных в </w:t>
      </w:r>
      <w:r>
        <w:rPr>
          <w:sz w:val="24"/>
          <w:szCs w:val="24"/>
        </w:rPr>
        <w:t>отношении</w:t>
      </w:r>
      <w:r w:rsidRPr="001E41DF">
        <w:rPr>
          <w:sz w:val="24"/>
          <w:szCs w:val="24"/>
        </w:rPr>
        <w:t xml:space="preserve"> задолженности, прогнозируемой к погашению в соответствующем финансовом году</w:t>
      </w:r>
      <w:r>
        <w:rPr>
          <w:sz w:val="24"/>
          <w:szCs w:val="24"/>
        </w:rPr>
        <w:t>;</w:t>
      </w:r>
    </w:p>
    <w:p w:rsidR="00220B3F" w:rsidRPr="005A6EE2" w:rsidRDefault="00220B3F" w:rsidP="00220B3F">
      <w:pPr>
        <w:tabs>
          <w:tab w:val="left" w:pos="709"/>
        </w:tabs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- м</w:t>
      </w:r>
      <w:r w:rsidRPr="005A6EE2">
        <w:rPr>
          <w:color w:val="000000"/>
          <w:sz w:val="24"/>
          <w:szCs w:val="24"/>
        </w:rPr>
        <w:t>етодика прогнозирования поступлений доходов от сдачи в аренду имущества, находящегося в Казне Томской области.</w:t>
      </w:r>
    </w:p>
    <w:p w:rsidR="00220B3F" w:rsidRPr="009B4F39" w:rsidRDefault="00220B3F" w:rsidP="00220B3F">
      <w:pPr>
        <w:tabs>
          <w:tab w:val="left" w:pos="720"/>
        </w:tabs>
        <w:rPr>
          <w:sz w:val="24"/>
          <w:szCs w:val="24"/>
          <w:highlight w:val="yellow"/>
        </w:rPr>
      </w:pPr>
    </w:p>
    <w:p w:rsidR="00220B3F" w:rsidRPr="009B4F39" w:rsidRDefault="00220B3F" w:rsidP="00220B3F">
      <w:pPr>
        <w:tabs>
          <w:tab w:val="left" w:pos="720"/>
        </w:tabs>
        <w:rPr>
          <w:sz w:val="24"/>
          <w:szCs w:val="24"/>
          <w:highlight w:val="yellow"/>
        </w:rPr>
      </w:pPr>
      <w:r w:rsidRPr="00D61174">
        <w:rPr>
          <w:b/>
          <w:sz w:val="24"/>
          <w:szCs w:val="24"/>
        </w:rPr>
        <w:tab/>
      </w:r>
      <w:r w:rsidRPr="00D61174">
        <w:rPr>
          <w:sz w:val="24"/>
          <w:szCs w:val="24"/>
        </w:rPr>
        <w:t xml:space="preserve">Ожидаемое за 2016 год исполнение неналоговых </w:t>
      </w:r>
      <w:r w:rsidRPr="00D61174">
        <w:rPr>
          <w:b/>
          <w:sz w:val="24"/>
          <w:szCs w:val="24"/>
        </w:rPr>
        <w:t>доходов от продажи материальных и нематериальных активов, находящихся в собственности Томской области</w:t>
      </w:r>
      <w:r w:rsidRPr="00D61174">
        <w:rPr>
          <w:sz w:val="24"/>
          <w:szCs w:val="24"/>
        </w:rPr>
        <w:t>,</w:t>
      </w:r>
      <w:r w:rsidRPr="00D61174">
        <w:rPr>
          <w:b/>
          <w:sz w:val="24"/>
          <w:szCs w:val="24"/>
        </w:rPr>
        <w:t xml:space="preserve"> </w:t>
      </w:r>
      <w:r w:rsidRPr="00D61174">
        <w:rPr>
          <w:sz w:val="24"/>
          <w:szCs w:val="24"/>
        </w:rPr>
        <w:t xml:space="preserve">приведенное в материалах к </w:t>
      </w:r>
      <w:r>
        <w:rPr>
          <w:sz w:val="24"/>
          <w:szCs w:val="24"/>
        </w:rPr>
        <w:t>з</w:t>
      </w:r>
      <w:r w:rsidRPr="00D61174">
        <w:rPr>
          <w:sz w:val="24"/>
          <w:szCs w:val="24"/>
        </w:rPr>
        <w:t>аконопроекту</w:t>
      </w:r>
      <w:r>
        <w:rPr>
          <w:sz w:val="24"/>
          <w:szCs w:val="24"/>
        </w:rPr>
        <w:t>, составляет</w:t>
      </w:r>
      <w:r w:rsidRPr="00D61174">
        <w:rPr>
          <w:sz w:val="24"/>
          <w:szCs w:val="24"/>
        </w:rPr>
        <w:t xml:space="preserve"> 127</w:t>
      </w:r>
      <w:r>
        <w:rPr>
          <w:sz w:val="24"/>
          <w:szCs w:val="24"/>
        </w:rPr>
        <w:t> </w:t>
      </w:r>
      <w:r w:rsidRPr="00D61174">
        <w:rPr>
          <w:sz w:val="24"/>
          <w:szCs w:val="24"/>
        </w:rPr>
        <w:t>621</w:t>
      </w:r>
      <w:r>
        <w:rPr>
          <w:sz w:val="24"/>
          <w:szCs w:val="24"/>
        </w:rPr>
        <w:t>,9 тыс.руб.</w:t>
      </w:r>
      <w:r w:rsidR="002944E6">
        <w:rPr>
          <w:sz w:val="24"/>
          <w:szCs w:val="24"/>
        </w:rPr>
        <w:t>,</w:t>
      </w:r>
      <w:r>
        <w:rPr>
          <w:sz w:val="24"/>
          <w:szCs w:val="24"/>
        </w:rPr>
        <w:t xml:space="preserve"> или 100% от</w:t>
      </w:r>
      <w:r w:rsidRPr="00D61174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D61174">
        <w:rPr>
          <w:sz w:val="24"/>
          <w:szCs w:val="24"/>
        </w:rPr>
        <w:t xml:space="preserve">. Уточненный объем ожидаемых доходов по данному источнику </w:t>
      </w:r>
      <w:r>
        <w:rPr>
          <w:sz w:val="24"/>
          <w:szCs w:val="24"/>
        </w:rPr>
        <w:t xml:space="preserve">значительно меньше </w:t>
      </w:r>
      <w:r w:rsidRPr="00D61174">
        <w:rPr>
          <w:sz w:val="24"/>
          <w:szCs w:val="24"/>
        </w:rPr>
        <w:t>- 5</w:t>
      </w:r>
      <w:r>
        <w:rPr>
          <w:sz w:val="24"/>
          <w:szCs w:val="24"/>
        </w:rPr>
        <w:t> 953,4</w:t>
      </w:r>
      <w:r w:rsidRPr="00D61174">
        <w:rPr>
          <w:sz w:val="24"/>
          <w:szCs w:val="24"/>
        </w:rPr>
        <w:t xml:space="preserve"> тыс.руб.</w:t>
      </w:r>
      <w:r w:rsidR="002944E6">
        <w:rPr>
          <w:sz w:val="24"/>
          <w:szCs w:val="24"/>
        </w:rPr>
        <w:t>,</w:t>
      </w:r>
      <w:r w:rsidRPr="00D61174">
        <w:rPr>
          <w:sz w:val="24"/>
          <w:szCs w:val="24"/>
        </w:rPr>
        <w:t xml:space="preserve"> или 4,</w:t>
      </w:r>
      <w:r>
        <w:rPr>
          <w:sz w:val="24"/>
          <w:szCs w:val="24"/>
        </w:rPr>
        <w:t>7</w:t>
      </w:r>
      <w:r w:rsidRPr="00D61174">
        <w:rPr>
          <w:sz w:val="24"/>
          <w:szCs w:val="24"/>
        </w:rPr>
        <w:t>% от плана, в том числе</w:t>
      </w:r>
      <w:r>
        <w:rPr>
          <w:sz w:val="24"/>
          <w:szCs w:val="24"/>
        </w:rPr>
        <w:t>:</w:t>
      </w:r>
      <w:r w:rsidRPr="00D61174">
        <w:rPr>
          <w:sz w:val="24"/>
          <w:szCs w:val="24"/>
        </w:rPr>
        <w:t xml:space="preserve"> от продажи земельных участков </w:t>
      </w:r>
      <w:r>
        <w:rPr>
          <w:sz w:val="24"/>
          <w:szCs w:val="24"/>
        </w:rPr>
        <w:t>-</w:t>
      </w:r>
      <w:r w:rsidRPr="00D61174">
        <w:rPr>
          <w:sz w:val="24"/>
          <w:szCs w:val="24"/>
        </w:rPr>
        <w:t xml:space="preserve"> </w:t>
      </w:r>
      <w:r>
        <w:rPr>
          <w:sz w:val="24"/>
          <w:szCs w:val="24"/>
        </w:rPr>
        <w:t>720,1</w:t>
      </w:r>
      <w:r w:rsidRPr="00D61174">
        <w:rPr>
          <w:sz w:val="24"/>
          <w:szCs w:val="24"/>
        </w:rPr>
        <w:t xml:space="preserve"> тыс.руб.</w:t>
      </w:r>
      <w:r>
        <w:rPr>
          <w:sz w:val="24"/>
          <w:szCs w:val="24"/>
        </w:rPr>
        <w:t>, от продажи прочего имущества - 5 233,3 тыс.руб. Это связано</w:t>
      </w:r>
      <w:r w:rsidRPr="00AA21E6">
        <w:rPr>
          <w:sz w:val="24"/>
          <w:szCs w:val="24"/>
        </w:rPr>
        <w:t xml:space="preserve"> с </w:t>
      </w:r>
      <w:r>
        <w:rPr>
          <w:sz w:val="24"/>
          <w:szCs w:val="24"/>
        </w:rPr>
        <w:t>ожидаемой в 4 квартале реализацией</w:t>
      </w:r>
      <w:r w:rsidRPr="00AA21E6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 9 объектов недвижимости, включая земельные участки</w:t>
      </w:r>
      <w:r w:rsidRPr="00AD7C3A">
        <w:rPr>
          <w:sz w:val="24"/>
          <w:szCs w:val="24"/>
        </w:rPr>
        <w:t xml:space="preserve"> </w:t>
      </w:r>
      <w:r>
        <w:rPr>
          <w:sz w:val="24"/>
          <w:szCs w:val="24"/>
        </w:rPr>
        <w:t>(причем 4</w:t>
      </w:r>
      <w:r w:rsidRPr="00AA21E6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</w:t>
      </w:r>
      <w:r w:rsidRPr="00AA21E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A21E6">
        <w:rPr>
          <w:sz w:val="24"/>
          <w:szCs w:val="24"/>
        </w:rPr>
        <w:t xml:space="preserve"> путем публичного предложения</w:t>
      </w:r>
      <w:r>
        <w:rPr>
          <w:sz w:val="24"/>
          <w:szCs w:val="24"/>
        </w:rPr>
        <w:t xml:space="preserve">), из 26 объектов недвижимости, предусмотренных </w:t>
      </w:r>
      <w:r w:rsidRPr="00D61174">
        <w:rPr>
          <w:sz w:val="24"/>
          <w:szCs w:val="24"/>
        </w:rPr>
        <w:t>Прогнозны</w:t>
      </w:r>
      <w:r>
        <w:rPr>
          <w:sz w:val="24"/>
          <w:szCs w:val="24"/>
        </w:rPr>
        <w:t>м</w:t>
      </w:r>
      <w:r w:rsidRPr="00D61174">
        <w:rPr>
          <w:sz w:val="24"/>
          <w:szCs w:val="24"/>
        </w:rPr>
        <w:t xml:space="preserve"> план</w:t>
      </w:r>
      <w:r>
        <w:rPr>
          <w:sz w:val="24"/>
          <w:szCs w:val="24"/>
        </w:rPr>
        <w:t>ом</w:t>
      </w:r>
      <w:r w:rsidRPr="00D61174">
        <w:rPr>
          <w:sz w:val="24"/>
          <w:szCs w:val="24"/>
        </w:rPr>
        <w:t xml:space="preserve"> (программ</w:t>
      </w:r>
      <w:r>
        <w:rPr>
          <w:sz w:val="24"/>
          <w:szCs w:val="24"/>
        </w:rPr>
        <w:t>ой</w:t>
      </w:r>
      <w:r w:rsidRPr="00D61174">
        <w:rPr>
          <w:sz w:val="24"/>
          <w:szCs w:val="24"/>
        </w:rPr>
        <w:t>) приватизации</w:t>
      </w:r>
      <w:r>
        <w:rPr>
          <w:sz w:val="24"/>
          <w:szCs w:val="24"/>
        </w:rPr>
        <w:t>. В отношении остальных 17 объектов недвижимости, включая земельные участки, п</w:t>
      </w:r>
      <w:r w:rsidRPr="00AA21E6">
        <w:rPr>
          <w:sz w:val="24"/>
          <w:szCs w:val="24"/>
        </w:rPr>
        <w:t>ланируе</w:t>
      </w:r>
      <w:r>
        <w:rPr>
          <w:sz w:val="24"/>
          <w:szCs w:val="24"/>
        </w:rPr>
        <w:t>тся: перенос</w:t>
      </w:r>
      <w:r w:rsidRPr="00AA21E6">
        <w:rPr>
          <w:sz w:val="24"/>
          <w:szCs w:val="24"/>
        </w:rPr>
        <w:t xml:space="preserve"> на 2017 год </w:t>
      </w:r>
      <w:r>
        <w:rPr>
          <w:sz w:val="24"/>
          <w:szCs w:val="24"/>
        </w:rPr>
        <w:t>реализации 10 объектов (</w:t>
      </w:r>
      <w:r w:rsidRPr="00AA21E6">
        <w:rPr>
          <w:sz w:val="24"/>
          <w:szCs w:val="24"/>
        </w:rPr>
        <w:t>имущественн</w:t>
      </w:r>
      <w:r>
        <w:rPr>
          <w:sz w:val="24"/>
          <w:szCs w:val="24"/>
        </w:rPr>
        <w:t>ый комплекс в</w:t>
      </w:r>
      <w:r w:rsidRPr="00AA21E6">
        <w:rPr>
          <w:sz w:val="24"/>
          <w:szCs w:val="24"/>
        </w:rPr>
        <w:t xml:space="preserve"> г. Томск,</w:t>
      </w:r>
      <w:r>
        <w:rPr>
          <w:sz w:val="24"/>
          <w:szCs w:val="24"/>
        </w:rPr>
        <w:t xml:space="preserve"> </w:t>
      </w:r>
      <w:r w:rsidRPr="00AA21E6">
        <w:rPr>
          <w:sz w:val="24"/>
          <w:szCs w:val="24"/>
        </w:rPr>
        <w:t>ул. Мичурина, 110</w:t>
      </w:r>
      <w:r>
        <w:rPr>
          <w:sz w:val="24"/>
          <w:szCs w:val="24"/>
        </w:rPr>
        <w:t xml:space="preserve">, </w:t>
      </w:r>
      <w:r w:rsidRPr="00AA21E6">
        <w:rPr>
          <w:sz w:val="24"/>
          <w:szCs w:val="24"/>
        </w:rPr>
        <w:t>и нежило</w:t>
      </w:r>
      <w:r>
        <w:rPr>
          <w:sz w:val="24"/>
          <w:szCs w:val="24"/>
        </w:rPr>
        <w:t>е</w:t>
      </w:r>
      <w:r w:rsidRPr="00AA21E6">
        <w:rPr>
          <w:sz w:val="24"/>
          <w:szCs w:val="24"/>
        </w:rPr>
        <w:t xml:space="preserve"> здани</w:t>
      </w:r>
      <w:r>
        <w:rPr>
          <w:sz w:val="24"/>
          <w:szCs w:val="24"/>
        </w:rPr>
        <w:t>е с земельным участком по</w:t>
      </w:r>
      <w:r w:rsidRPr="00AA21E6">
        <w:rPr>
          <w:sz w:val="24"/>
          <w:szCs w:val="24"/>
        </w:rPr>
        <w:t xml:space="preserve"> ул. Кривая, 4</w:t>
      </w:r>
      <w:r>
        <w:rPr>
          <w:sz w:val="24"/>
          <w:szCs w:val="24"/>
        </w:rPr>
        <w:t xml:space="preserve">), передача 6 объектов </w:t>
      </w:r>
      <w:r w:rsidRPr="00AA21E6">
        <w:rPr>
          <w:sz w:val="24"/>
          <w:szCs w:val="24"/>
        </w:rPr>
        <w:t>имущественн</w:t>
      </w:r>
      <w:r>
        <w:rPr>
          <w:sz w:val="24"/>
          <w:szCs w:val="24"/>
        </w:rPr>
        <w:t>ого</w:t>
      </w:r>
      <w:r w:rsidRPr="00AA21E6">
        <w:rPr>
          <w:sz w:val="24"/>
          <w:szCs w:val="24"/>
        </w:rPr>
        <w:t xml:space="preserve"> комплекс</w:t>
      </w:r>
      <w:r>
        <w:rPr>
          <w:sz w:val="24"/>
          <w:szCs w:val="24"/>
        </w:rPr>
        <w:t>а (</w:t>
      </w:r>
      <w:r w:rsidRPr="00AA21E6">
        <w:rPr>
          <w:sz w:val="24"/>
          <w:szCs w:val="24"/>
        </w:rPr>
        <w:t>г. Томск, ул. Студенческая, 41</w:t>
      </w:r>
      <w:r>
        <w:rPr>
          <w:sz w:val="24"/>
          <w:szCs w:val="24"/>
        </w:rPr>
        <w:t xml:space="preserve">) </w:t>
      </w:r>
      <w:r w:rsidRPr="00AA21E6">
        <w:rPr>
          <w:sz w:val="24"/>
          <w:szCs w:val="24"/>
        </w:rPr>
        <w:t xml:space="preserve">в федеральную собственность, </w:t>
      </w:r>
      <w:r>
        <w:rPr>
          <w:sz w:val="24"/>
          <w:szCs w:val="24"/>
        </w:rPr>
        <w:t xml:space="preserve">а </w:t>
      </w:r>
      <w:r w:rsidRPr="00AA21E6">
        <w:rPr>
          <w:sz w:val="24"/>
          <w:szCs w:val="24"/>
        </w:rPr>
        <w:t>гражданско</w:t>
      </w:r>
      <w:r>
        <w:rPr>
          <w:sz w:val="24"/>
          <w:szCs w:val="24"/>
        </w:rPr>
        <w:t>го</w:t>
      </w:r>
      <w:r w:rsidRPr="00AA21E6">
        <w:rPr>
          <w:sz w:val="24"/>
          <w:szCs w:val="24"/>
        </w:rPr>
        <w:t xml:space="preserve"> воздушно</w:t>
      </w:r>
      <w:r>
        <w:rPr>
          <w:sz w:val="24"/>
          <w:szCs w:val="24"/>
        </w:rPr>
        <w:t>го</w:t>
      </w:r>
      <w:r w:rsidRPr="00AA21E6">
        <w:rPr>
          <w:sz w:val="24"/>
          <w:szCs w:val="24"/>
        </w:rPr>
        <w:t xml:space="preserve"> судн</w:t>
      </w:r>
      <w:r>
        <w:rPr>
          <w:sz w:val="24"/>
          <w:szCs w:val="24"/>
        </w:rPr>
        <w:t>а</w:t>
      </w:r>
      <w:r w:rsidRPr="00AA21E6">
        <w:rPr>
          <w:sz w:val="24"/>
          <w:szCs w:val="24"/>
        </w:rPr>
        <w:t xml:space="preserve"> - в оперуправление ОГАУ «Томская авиабаза»</w:t>
      </w:r>
      <w:r>
        <w:rPr>
          <w:sz w:val="24"/>
          <w:szCs w:val="24"/>
        </w:rPr>
        <w:t>.</w:t>
      </w:r>
      <w:r w:rsidRPr="00AA21E6">
        <w:rPr>
          <w:sz w:val="24"/>
          <w:szCs w:val="24"/>
        </w:rPr>
        <w:t xml:space="preserve"> </w:t>
      </w:r>
      <w:r w:rsidRPr="00D61174">
        <w:rPr>
          <w:sz w:val="24"/>
          <w:szCs w:val="24"/>
        </w:rPr>
        <w:t xml:space="preserve">За 9 месяцев текущего года по данному источнику доходов </w:t>
      </w:r>
      <w:r>
        <w:rPr>
          <w:sz w:val="24"/>
          <w:szCs w:val="24"/>
        </w:rPr>
        <w:t xml:space="preserve">в областной бюджет </w:t>
      </w:r>
      <w:r w:rsidRPr="00D61174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лишь 314,8</w:t>
      </w:r>
      <w:r w:rsidRPr="00D61174">
        <w:rPr>
          <w:sz w:val="24"/>
          <w:szCs w:val="24"/>
        </w:rPr>
        <w:t xml:space="preserve"> тыс.руб., </w:t>
      </w:r>
      <w:r>
        <w:rPr>
          <w:sz w:val="24"/>
          <w:szCs w:val="24"/>
        </w:rPr>
        <w:t>из них 263,1 тыс.руб. - от продажи 4 автомобилей,</w:t>
      </w:r>
      <w:r w:rsidRPr="00D61174">
        <w:rPr>
          <w:sz w:val="24"/>
          <w:szCs w:val="24"/>
        </w:rPr>
        <w:t xml:space="preserve"> 51,7 тыс.руб. - от продажи </w:t>
      </w:r>
      <w:r>
        <w:rPr>
          <w:sz w:val="24"/>
          <w:szCs w:val="24"/>
        </w:rPr>
        <w:t xml:space="preserve">6 </w:t>
      </w:r>
      <w:r w:rsidRPr="00D61174">
        <w:rPr>
          <w:sz w:val="24"/>
          <w:szCs w:val="24"/>
        </w:rPr>
        <w:t>земельных участков под объектами недвижимости</w:t>
      </w:r>
      <w:r w:rsidRPr="00070F56">
        <w:rPr>
          <w:sz w:val="24"/>
          <w:szCs w:val="24"/>
        </w:rPr>
        <w:t>, наход</w:t>
      </w:r>
      <w:r>
        <w:rPr>
          <w:sz w:val="24"/>
          <w:szCs w:val="24"/>
        </w:rPr>
        <w:t>ящ</w:t>
      </w:r>
      <w:r w:rsidRPr="00070F56">
        <w:rPr>
          <w:sz w:val="24"/>
          <w:szCs w:val="24"/>
        </w:rPr>
        <w:t>имися в частной собственности</w:t>
      </w:r>
      <w:r>
        <w:rPr>
          <w:sz w:val="24"/>
          <w:szCs w:val="24"/>
        </w:rPr>
        <w:t xml:space="preserve"> (у многодетных семей)</w:t>
      </w:r>
      <w:r w:rsidRPr="00070F56">
        <w:rPr>
          <w:sz w:val="24"/>
          <w:szCs w:val="24"/>
        </w:rPr>
        <w:t xml:space="preserve">.  </w:t>
      </w:r>
    </w:p>
    <w:p w:rsidR="00220B3F" w:rsidRPr="00EE1584" w:rsidRDefault="00220B3F" w:rsidP="00220B3F">
      <w:pPr>
        <w:tabs>
          <w:tab w:val="left" w:pos="720"/>
        </w:tabs>
        <w:rPr>
          <w:sz w:val="24"/>
          <w:szCs w:val="24"/>
        </w:rPr>
      </w:pPr>
      <w:r w:rsidRPr="00D61174">
        <w:rPr>
          <w:sz w:val="24"/>
          <w:szCs w:val="24"/>
        </w:rPr>
        <w:tab/>
        <w:t xml:space="preserve">Расчет планируемых доходов от продажи материальных и нематериальных активов, находящихся в собственности Томской области, на 2017-2019 годы произведен только исходя из доходов от продажи объектов, включенных в Прогнозный план (программу) приватизации. На 2017 год доходы </w:t>
      </w:r>
      <w:r w:rsidRPr="00D61174">
        <w:rPr>
          <w:snapToGrid w:val="0"/>
          <w:sz w:val="24"/>
          <w:szCs w:val="24"/>
        </w:rPr>
        <w:t>п</w:t>
      </w:r>
      <w:r w:rsidRPr="00D61174">
        <w:rPr>
          <w:sz w:val="24"/>
          <w:szCs w:val="24"/>
        </w:rPr>
        <w:t xml:space="preserve">рогнозируются в сумме 37 835,3 тыс.руб. (в том числе от продажи земельных участков - 31 103,7 тыс.руб.), из них: </w:t>
      </w:r>
      <w:r w:rsidRPr="00070F56">
        <w:rPr>
          <w:sz w:val="24"/>
          <w:szCs w:val="24"/>
        </w:rPr>
        <w:t>33 792,7 тыс.руб.</w:t>
      </w:r>
      <w:r>
        <w:rPr>
          <w:sz w:val="24"/>
          <w:szCs w:val="24"/>
        </w:rPr>
        <w:t xml:space="preserve"> - </w:t>
      </w:r>
      <w:r w:rsidRPr="00070F56">
        <w:rPr>
          <w:sz w:val="24"/>
          <w:szCs w:val="24"/>
        </w:rPr>
        <w:t xml:space="preserve">от продажи </w:t>
      </w:r>
      <w:r>
        <w:rPr>
          <w:sz w:val="24"/>
          <w:szCs w:val="24"/>
        </w:rPr>
        <w:t xml:space="preserve">объектов недвижимости </w:t>
      </w:r>
      <w:r w:rsidRPr="00070F56">
        <w:rPr>
          <w:sz w:val="24"/>
          <w:szCs w:val="24"/>
        </w:rPr>
        <w:t>ОГУ «Томские леса» с земельными участками под ними, 4 042</w:t>
      </w:r>
      <w:r>
        <w:rPr>
          <w:sz w:val="24"/>
          <w:szCs w:val="24"/>
        </w:rPr>
        <w:t>,6</w:t>
      </w:r>
      <w:r w:rsidRPr="00070F56">
        <w:rPr>
          <w:sz w:val="24"/>
          <w:szCs w:val="24"/>
        </w:rPr>
        <w:t xml:space="preserve"> тыс.руб.</w:t>
      </w:r>
      <w:r>
        <w:rPr>
          <w:sz w:val="24"/>
          <w:szCs w:val="24"/>
        </w:rPr>
        <w:t xml:space="preserve"> - от продажи одного </w:t>
      </w:r>
      <w:r w:rsidRPr="00070F56">
        <w:rPr>
          <w:sz w:val="24"/>
          <w:szCs w:val="24"/>
        </w:rPr>
        <w:t xml:space="preserve">здания и помещений, расположенных </w:t>
      </w:r>
      <w:r>
        <w:rPr>
          <w:sz w:val="24"/>
          <w:szCs w:val="24"/>
        </w:rPr>
        <w:t xml:space="preserve">соответственно </w:t>
      </w:r>
      <w:r w:rsidRPr="00070F56">
        <w:rPr>
          <w:sz w:val="24"/>
          <w:szCs w:val="24"/>
        </w:rPr>
        <w:t>в пос. Басандайка,</w:t>
      </w:r>
      <w:r>
        <w:rPr>
          <w:sz w:val="24"/>
          <w:szCs w:val="24"/>
        </w:rPr>
        <w:t xml:space="preserve"> </w:t>
      </w:r>
      <w:r w:rsidRPr="00070F56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Pr="00070F56">
        <w:rPr>
          <w:sz w:val="24"/>
          <w:szCs w:val="24"/>
        </w:rPr>
        <w:t>Путевая, д.</w:t>
      </w:r>
      <w:r>
        <w:rPr>
          <w:sz w:val="24"/>
          <w:szCs w:val="24"/>
        </w:rPr>
        <w:t xml:space="preserve"> </w:t>
      </w:r>
      <w:r w:rsidRPr="00070F56">
        <w:rPr>
          <w:sz w:val="24"/>
          <w:szCs w:val="24"/>
        </w:rPr>
        <w:t xml:space="preserve">4а и </w:t>
      </w:r>
      <w:r>
        <w:rPr>
          <w:sz w:val="24"/>
          <w:szCs w:val="24"/>
        </w:rPr>
        <w:t xml:space="preserve">в </w:t>
      </w:r>
      <w:r w:rsidRPr="00070F56">
        <w:rPr>
          <w:sz w:val="24"/>
          <w:szCs w:val="24"/>
        </w:rPr>
        <w:t>пос. Спутник, 18</w:t>
      </w:r>
      <w:r>
        <w:rPr>
          <w:sz w:val="24"/>
          <w:szCs w:val="24"/>
        </w:rPr>
        <w:t>.</w:t>
      </w:r>
      <w:r w:rsidRPr="00070F56">
        <w:rPr>
          <w:sz w:val="24"/>
          <w:szCs w:val="24"/>
        </w:rPr>
        <w:t xml:space="preserve"> </w:t>
      </w:r>
      <w:r w:rsidRPr="00D61174">
        <w:rPr>
          <w:sz w:val="24"/>
          <w:szCs w:val="24"/>
        </w:rPr>
        <w:t xml:space="preserve">Прогноз доходов на 2018 год - 15 884,2 тыс.руб., что </w:t>
      </w:r>
      <w:r>
        <w:rPr>
          <w:sz w:val="24"/>
          <w:szCs w:val="24"/>
        </w:rPr>
        <w:t>в 2,4 раза</w:t>
      </w:r>
      <w:r w:rsidRPr="00D61174">
        <w:rPr>
          <w:sz w:val="24"/>
          <w:szCs w:val="24"/>
        </w:rPr>
        <w:t xml:space="preserve"> меньше уровня 2017 года; на 2019 год - 60 815,7 тыс.руб. (в том числе от продажи земельных участков </w:t>
      </w:r>
      <w:r>
        <w:rPr>
          <w:sz w:val="24"/>
          <w:szCs w:val="24"/>
        </w:rPr>
        <w:t>-</w:t>
      </w:r>
      <w:r w:rsidRPr="00D61174">
        <w:rPr>
          <w:sz w:val="24"/>
          <w:szCs w:val="24"/>
        </w:rPr>
        <w:t xml:space="preserve"> </w:t>
      </w:r>
      <w:r>
        <w:rPr>
          <w:sz w:val="24"/>
          <w:szCs w:val="24"/>
        </w:rPr>
        <w:t>1 523,9</w:t>
      </w:r>
      <w:r w:rsidRPr="00D61174">
        <w:rPr>
          <w:sz w:val="24"/>
          <w:szCs w:val="24"/>
        </w:rPr>
        <w:t xml:space="preserve"> тыс.руб</w:t>
      </w:r>
      <w:r w:rsidRPr="00EE1584">
        <w:rPr>
          <w:sz w:val="24"/>
          <w:szCs w:val="24"/>
        </w:rPr>
        <w:t xml:space="preserve">.), или 161% от </w:t>
      </w:r>
      <w:r>
        <w:rPr>
          <w:sz w:val="24"/>
          <w:szCs w:val="24"/>
        </w:rPr>
        <w:t xml:space="preserve">прогноза на </w:t>
      </w:r>
      <w:r w:rsidRPr="00EE1584">
        <w:rPr>
          <w:sz w:val="24"/>
          <w:szCs w:val="24"/>
        </w:rPr>
        <w:t xml:space="preserve">2017 года. </w:t>
      </w:r>
    </w:p>
    <w:p w:rsidR="00220B3F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Как указано в разделе настоящего заключения по анализу </w:t>
      </w:r>
      <w:r w:rsidRPr="00D61174">
        <w:rPr>
          <w:sz w:val="24"/>
          <w:szCs w:val="24"/>
        </w:rPr>
        <w:t>Прогнозн</w:t>
      </w:r>
      <w:r>
        <w:rPr>
          <w:sz w:val="24"/>
          <w:szCs w:val="24"/>
        </w:rPr>
        <w:t>ого</w:t>
      </w:r>
      <w:r w:rsidRPr="00D61174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D61174">
        <w:rPr>
          <w:sz w:val="24"/>
          <w:szCs w:val="24"/>
        </w:rPr>
        <w:t xml:space="preserve"> (программ</w:t>
      </w:r>
      <w:r>
        <w:rPr>
          <w:sz w:val="24"/>
          <w:szCs w:val="24"/>
        </w:rPr>
        <w:t>ы</w:t>
      </w:r>
      <w:r w:rsidRPr="00D61174">
        <w:rPr>
          <w:sz w:val="24"/>
          <w:szCs w:val="24"/>
        </w:rPr>
        <w:t>) приватизации</w:t>
      </w:r>
      <w:r>
        <w:rPr>
          <w:sz w:val="24"/>
          <w:szCs w:val="24"/>
        </w:rPr>
        <w:t xml:space="preserve">, </w:t>
      </w:r>
      <w:r w:rsidRPr="00696A06">
        <w:rPr>
          <w:sz w:val="24"/>
          <w:szCs w:val="24"/>
        </w:rPr>
        <w:t xml:space="preserve">подтвердить обоснованность запланированной </w:t>
      </w:r>
      <w:r>
        <w:rPr>
          <w:sz w:val="24"/>
          <w:szCs w:val="24"/>
        </w:rPr>
        <w:t>приватизации</w:t>
      </w:r>
      <w:r w:rsidRPr="00696A06">
        <w:rPr>
          <w:sz w:val="24"/>
          <w:szCs w:val="24"/>
        </w:rPr>
        <w:t xml:space="preserve"> 2</w:t>
      </w:r>
      <w:r>
        <w:rPr>
          <w:sz w:val="24"/>
          <w:szCs w:val="24"/>
        </w:rPr>
        <w:t>25</w:t>
      </w:r>
      <w:r w:rsidRPr="00696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объектов недвижимого </w:t>
      </w:r>
      <w:r w:rsidRPr="00696A06">
        <w:rPr>
          <w:sz w:val="24"/>
          <w:szCs w:val="24"/>
        </w:rPr>
        <w:t>областно</w:t>
      </w:r>
      <w:r>
        <w:rPr>
          <w:sz w:val="24"/>
          <w:szCs w:val="24"/>
        </w:rPr>
        <w:t>го имущества (объекты газового хозяйства и имущество ОГУ «Томские леса»)</w:t>
      </w:r>
      <w:r w:rsidRPr="00696A06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соответственно </w:t>
      </w:r>
      <w:r w:rsidRPr="00696A06">
        <w:rPr>
          <w:sz w:val="24"/>
          <w:szCs w:val="24"/>
        </w:rPr>
        <w:t>прогноза поступлени</w:t>
      </w:r>
      <w:r>
        <w:rPr>
          <w:sz w:val="24"/>
          <w:szCs w:val="24"/>
        </w:rPr>
        <w:t>й</w:t>
      </w:r>
      <w:r w:rsidRPr="00696A06">
        <w:rPr>
          <w:sz w:val="24"/>
          <w:szCs w:val="24"/>
        </w:rPr>
        <w:t xml:space="preserve"> доходов </w:t>
      </w:r>
      <w:r>
        <w:rPr>
          <w:sz w:val="24"/>
          <w:szCs w:val="24"/>
        </w:rPr>
        <w:t xml:space="preserve">областного бюджета </w:t>
      </w:r>
      <w:r w:rsidRPr="00696A06">
        <w:rPr>
          <w:sz w:val="24"/>
          <w:szCs w:val="24"/>
        </w:rPr>
        <w:t xml:space="preserve">от их </w:t>
      </w:r>
      <w:r>
        <w:rPr>
          <w:sz w:val="24"/>
          <w:szCs w:val="24"/>
        </w:rPr>
        <w:t xml:space="preserve">реализации в планируемом периоде </w:t>
      </w:r>
      <w:r w:rsidRPr="00696A06">
        <w:rPr>
          <w:sz w:val="24"/>
          <w:szCs w:val="24"/>
        </w:rPr>
        <w:t xml:space="preserve">в общей сумме </w:t>
      </w:r>
      <w:r>
        <w:rPr>
          <w:sz w:val="24"/>
          <w:szCs w:val="24"/>
        </w:rPr>
        <w:t>96 108,7</w:t>
      </w:r>
      <w:r w:rsidRPr="00696A06">
        <w:rPr>
          <w:sz w:val="24"/>
          <w:szCs w:val="24"/>
        </w:rPr>
        <w:t xml:space="preserve"> тыс.руб. </w:t>
      </w:r>
      <w:r>
        <w:rPr>
          <w:sz w:val="24"/>
          <w:szCs w:val="24"/>
        </w:rPr>
        <w:t>(</w:t>
      </w:r>
      <w:r w:rsidRPr="00696A06">
        <w:rPr>
          <w:sz w:val="24"/>
          <w:szCs w:val="24"/>
        </w:rPr>
        <w:t xml:space="preserve">2017 год </w:t>
      </w:r>
      <w:r>
        <w:rPr>
          <w:sz w:val="24"/>
          <w:szCs w:val="24"/>
        </w:rPr>
        <w:t>-</w:t>
      </w:r>
      <w:r w:rsidRPr="00696A06">
        <w:rPr>
          <w:sz w:val="24"/>
          <w:szCs w:val="24"/>
        </w:rPr>
        <w:t xml:space="preserve"> 33 792,7 тыс.руб., 2018 год </w:t>
      </w:r>
      <w:r>
        <w:rPr>
          <w:sz w:val="24"/>
          <w:szCs w:val="24"/>
        </w:rPr>
        <w:t>-</w:t>
      </w:r>
      <w:r w:rsidRPr="00696A06">
        <w:rPr>
          <w:sz w:val="24"/>
          <w:szCs w:val="24"/>
        </w:rPr>
        <w:t xml:space="preserve"> 1</w:t>
      </w:r>
      <w:r>
        <w:rPr>
          <w:sz w:val="24"/>
          <w:szCs w:val="24"/>
        </w:rPr>
        <w:t> 500,3</w:t>
      </w:r>
      <w:r w:rsidRPr="00696A06">
        <w:rPr>
          <w:sz w:val="24"/>
          <w:szCs w:val="24"/>
        </w:rPr>
        <w:t xml:space="preserve"> тыс.руб., 2019 год - 60 815,7 тыс.руб.</w:t>
      </w:r>
      <w:r>
        <w:rPr>
          <w:sz w:val="24"/>
          <w:szCs w:val="24"/>
        </w:rPr>
        <w:t xml:space="preserve">) </w:t>
      </w:r>
      <w:r w:rsidRPr="00696A06">
        <w:rPr>
          <w:sz w:val="24"/>
          <w:szCs w:val="24"/>
        </w:rPr>
        <w:t>не представляется возможным</w:t>
      </w:r>
      <w:r>
        <w:rPr>
          <w:sz w:val="24"/>
          <w:szCs w:val="24"/>
        </w:rPr>
        <w:t>.</w:t>
      </w:r>
    </w:p>
    <w:p w:rsidR="00220B3F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</w:p>
    <w:p w:rsidR="00220B3F" w:rsidRDefault="00220B3F" w:rsidP="00220B3F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учетом изложенного в настоящем подразделе </w:t>
      </w:r>
      <w:r w:rsidRPr="00884114">
        <w:rPr>
          <w:b/>
          <w:sz w:val="24"/>
          <w:szCs w:val="24"/>
        </w:rPr>
        <w:t>требуется существенная доработка прогнозных значений практически по всем доходным источникам.</w:t>
      </w:r>
    </w:p>
    <w:p w:rsidR="00220B3F" w:rsidRPr="00696A06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</w:p>
    <w:p w:rsidR="00220B3F" w:rsidRDefault="00220B3F" w:rsidP="00220B3F">
      <w:pPr>
        <w:widowControl/>
        <w:ind w:firstLine="709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5.7. Прогнозный план (программа) приватизации государственного имущества Томской области на 2017 год и на плановый период 2018 и 2019 годов </w:t>
      </w:r>
      <w:r>
        <w:rPr>
          <w:color w:val="000000"/>
          <w:sz w:val="24"/>
          <w:szCs w:val="24"/>
          <w:lang w:eastAsia="ru-RU"/>
        </w:rPr>
        <w:t xml:space="preserve">(Приложение 11 к законопроекту) </w:t>
      </w:r>
    </w:p>
    <w:p w:rsidR="00220B3F" w:rsidRPr="005A6EE2" w:rsidRDefault="00220B3F" w:rsidP="00220B3F">
      <w:pPr>
        <w:ind w:firstLine="709"/>
        <w:rPr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>В Прогнозный план (программу) приватизации государственного имущества Томской области в целом на трехлетний период включено 244 объекта областного недвижимого имущества, не используемого для обеспечения выполнения функций органов государственной власти Томской области и не требуемого для осуществления полномочий субъекта РФ, с общим планируемым доходом 114 535,2 тыс.руб., из них:</w:t>
      </w:r>
    </w:p>
    <w:p w:rsidR="00220B3F" w:rsidRPr="005A6EE2" w:rsidRDefault="00220B3F" w:rsidP="00220B3F">
      <w:pPr>
        <w:ind w:firstLine="709"/>
        <w:rPr>
          <w:rFonts w:eastAsia="Calibri"/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>- 37 835,3 тыс.руб. на 2017 год - нежилое помещение в пос. Спутник (владелец - ОГАУЗ «Поликлиника № 4») и находящиеся в Казне Томской области нежилое здание с земельным участком в пос. Басандайка Томского района и имущественный комплекс в с. Тегульдет в составе двух зданий (земельный участок под ними не сформирован), а также имущество ОГУ «Томские леса», включающее 6 имущественных комплексов (14 зданий и 6 земельных участков под ними), 9 зданий и сооружение с занимаемыми ими земельными участками, расположенные в 5 районах Томской области, 2 здания в Кожевниковском районе, расположенные на землях лесного фонда (</w:t>
      </w:r>
      <w:r w:rsidRPr="005A6EE2">
        <w:rPr>
          <w:rFonts w:eastAsia="Calibri"/>
          <w:color w:val="000000"/>
          <w:sz w:val="24"/>
          <w:szCs w:val="24"/>
        </w:rPr>
        <w:t xml:space="preserve">в соответствии с п.8 ст. 28 Федерального закона от </w:t>
      </w:r>
      <w:r w:rsidRPr="005A6EE2">
        <w:rPr>
          <w:rFonts w:eastAsia="Calibri"/>
          <w:sz w:val="24"/>
          <w:szCs w:val="24"/>
        </w:rPr>
        <w:t>21.12.2001 № 178-ФЗ</w:t>
      </w:r>
      <w:r w:rsidRPr="005A6EE2">
        <w:rPr>
          <w:rFonts w:eastAsia="Calibri"/>
          <w:color w:val="000000"/>
          <w:sz w:val="24"/>
          <w:szCs w:val="24"/>
        </w:rPr>
        <w:t xml:space="preserve"> </w:t>
      </w:r>
      <w:r w:rsidRPr="005A6EE2">
        <w:rPr>
          <w:rFonts w:eastAsia="Calibri"/>
          <w:sz w:val="24"/>
          <w:szCs w:val="24"/>
        </w:rPr>
        <w:t>«О приватизации государственного и муниципального имущества»</w:t>
      </w:r>
      <w:r w:rsidRPr="005A6EE2">
        <w:rPr>
          <w:rFonts w:eastAsia="Calibri"/>
          <w:color w:val="000000"/>
          <w:sz w:val="24"/>
          <w:szCs w:val="24"/>
        </w:rPr>
        <w:t xml:space="preserve"> земельные участки в составе земель лесного фонда не подлежат приватизации),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5A6EE2">
        <w:rPr>
          <w:rFonts w:eastAsia="Calibri"/>
          <w:color w:val="000000"/>
          <w:sz w:val="24"/>
          <w:szCs w:val="24"/>
        </w:rPr>
        <w:t>и нежилые помещения в здании по адресу:</w:t>
      </w:r>
      <w:r w:rsidRPr="00AC0419">
        <w:t xml:space="preserve"> </w:t>
      </w:r>
      <w:r w:rsidRPr="005A6EE2">
        <w:rPr>
          <w:rFonts w:eastAsia="Calibri"/>
          <w:color w:val="000000"/>
          <w:sz w:val="24"/>
          <w:szCs w:val="24"/>
        </w:rPr>
        <w:t>Каргасокский район, с. Сосновка, ул. Береговая, 27;</w:t>
      </w:r>
    </w:p>
    <w:p w:rsidR="00220B3F" w:rsidRPr="00C8758A" w:rsidRDefault="00220B3F" w:rsidP="00220B3F">
      <w:pPr>
        <w:tabs>
          <w:tab w:val="left" w:pos="851"/>
        </w:tabs>
        <w:ind w:firstLine="709"/>
        <w:rPr>
          <w:sz w:val="24"/>
          <w:szCs w:val="24"/>
        </w:rPr>
      </w:pPr>
      <w:r w:rsidRPr="005A6EE2">
        <w:rPr>
          <w:rFonts w:eastAsia="Calibri"/>
          <w:color w:val="000000"/>
          <w:sz w:val="24"/>
          <w:szCs w:val="24"/>
        </w:rPr>
        <w:t xml:space="preserve">- 15 884,2 тыс.руб. на 2018 год - </w:t>
      </w:r>
      <w:r w:rsidRPr="005A6EE2">
        <w:rPr>
          <w:color w:val="000000"/>
          <w:sz w:val="24"/>
          <w:szCs w:val="24"/>
        </w:rPr>
        <w:t xml:space="preserve">имущество ОГУ «Томские леса», включающее </w:t>
      </w:r>
      <w:r w:rsidRPr="00C8758A">
        <w:rPr>
          <w:sz w:val="24"/>
          <w:szCs w:val="24"/>
        </w:rPr>
        <w:t>8 зданий (строений), расположенны</w:t>
      </w:r>
      <w:r>
        <w:rPr>
          <w:sz w:val="24"/>
          <w:szCs w:val="24"/>
        </w:rPr>
        <w:t>х</w:t>
      </w:r>
      <w:r w:rsidRPr="00C8758A">
        <w:rPr>
          <w:sz w:val="24"/>
          <w:szCs w:val="24"/>
        </w:rPr>
        <w:t xml:space="preserve"> в </w:t>
      </w:r>
      <w:r>
        <w:rPr>
          <w:sz w:val="24"/>
          <w:szCs w:val="24"/>
        </w:rPr>
        <w:t>трех</w:t>
      </w:r>
      <w:r w:rsidRPr="00C8758A">
        <w:rPr>
          <w:sz w:val="24"/>
          <w:szCs w:val="24"/>
        </w:rPr>
        <w:t xml:space="preserve"> районах </w:t>
      </w:r>
      <w:r>
        <w:rPr>
          <w:sz w:val="24"/>
          <w:szCs w:val="24"/>
        </w:rPr>
        <w:t xml:space="preserve">Томской области </w:t>
      </w:r>
      <w:r w:rsidRPr="00C8758A">
        <w:rPr>
          <w:sz w:val="24"/>
          <w:szCs w:val="24"/>
        </w:rPr>
        <w:t xml:space="preserve">(земельные участки </w:t>
      </w:r>
      <w:r>
        <w:rPr>
          <w:sz w:val="24"/>
          <w:szCs w:val="24"/>
        </w:rPr>
        <w:t>под ними</w:t>
      </w:r>
      <w:r w:rsidRPr="00C8758A">
        <w:rPr>
          <w:sz w:val="24"/>
          <w:szCs w:val="24"/>
        </w:rPr>
        <w:t xml:space="preserve"> не сформированы)</w:t>
      </w:r>
      <w:r>
        <w:rPr>
          <w:sz w:val="24"/>
          <w:szCs w:val="24"/>
        </w:rPr>
        <w:t>, и находящийся</w:t>
      </w:r>
      <w:r w:rsidRPr="005A6EE2">
        <w:rPr>
          <w:color w:val="000000"/>
          <w:sz w:val="24"/>
          <w:szCs w:val="24"/>
        </w:rPr>
        <w:t xml:space="preserve"> в г. Асино имущественный комплекс в составе трех зданий (занимаемый ими земельный участок не сформирован)</w:t>
      </w:r>
      <w:r>
        <w:rPr>
          <w:sz w:val="24"/>
          <w:szCs w:val="24"/>
        </w:rPr>
        <w:t xml:space="preserve">, а также </w:t>
      </w:r>
      <w:r w:rsidRPr="005A6EE2">
        <w:rPr>
          <w:rFonts w:eastAsia="Calibri"/>
          <w:color w:val="000000"/>
          <w:sz w:val="24"/>
          <w:szCs w:val="24"/>
        </w:rPr>
        <w:t xml:space="preserve">имущественный комплекс </w:t>
      </w:r>
      <w:r w:rsidRPr="005A6EE2">
        <w:rPr>
          <w:color w:val="000000"/>
          <w:sz w:val="24"/>
          <w:szCs w:val="24"/>
        </w:rPr>
        <w:t>в г. Томск, ул. Угрюмова, 1, состоящий из 16 объектов недвижимости, неоднократно включавшийся в Программу приватизации, в том числе на 2015 год в составе 17 объектов недвижимости (16 указанных объектов и объект «Открытое распределительное устройство»), нереализованную в связи с неразрешенностью на протяжении более 8 лет вопроса о проведении кадастровых работ с целью формирования земельных участков под объектами областной собственности. В</w:t>
      </w:r>
      <w:r>
        <w:rPr>
          <w:sz w:val="24"/>
          <w:szCs w:val="24"/>
        </w:rPr>
        <w:t xml:space="preserve"> текущем году зарегистрировано право собственности Томской области на весь земельный участок площадью 20,2 га по указанному адресу, на котором кроме областных объектов расположены объекты недвижимости, находящиеся в частной собственности. В 2017 году планируется межевание данного участка с целью</w:t>
      </w:r>
      <w:r w:rsidRPr="005A6EE2">
        <w:rPr>
          <w:color w:val="000000"/>
          <w:sz w:val="24"/>
          <w:szCs w:val="24"/>
        </w:rPr>
        <w:t xml:space="preserve"> образования земельных участков под объектами областной собственности.</w:t>
      </w:r>
      <w:r>
        <w:rPr>
          <w:sz w:val="24"/>
          <w:szCs w:val="24"/>
        </w:rPr>
        <w:t xml:space="preserve"> </w:t>
      </w:r>
      <w:r w:rsidRPr="005A6EE2">
        <w:rPr>
          <w:color w:val="000000"/>
          <w:sz w:val="24"/>
          <w:szCs w:val="24"/>
        </w:rPr>
        <w:t xml:space="preserve">Следует обратить внимание, что находящийся в собственности Томской области вышеуказанный объект недвижимости «Открытое распределительное устройство», расположенный по адресу: г. Томск, ул. Угрюмова, 1, стр. 37 (рыночной стоимостью по состоянию на 16.06.2015 г. </w:t>
      </w:r>
      <w:r w:rsidR="004F7ADF">
        <w:rPr>
          <w:color w:val="000000"/>
          <w:sz w:val="24"/>
          <w:szCs w:val="24"/>
        </w:rPr>
        <w:t xml:space="preserve">- </w:t>
      </w:r>
      <w:r w:rsidRPr="005A6EE2">
        <w:rPr>
          <w:color w:val="000000"/>
          <w:sz w:val="24"/>
          <w:szCs w:val="24"/>
        </w:rPr>
        <w:t>937,7 тыс.руб.), при отсутствии достаточных аргументов не включен в состав приватизируемого имущества в связи с обращением Департамента энергетики Томской области от 13.07.2016</w:t>
      </w:r>
      <w:r w:rsidRPr="002A07FE">
        <w:rPr>
          <w:sz w:val="24"/>
          <w:szCs w:val="24"/>
        </w:rPr>
        <w:t>;</w:t>
      </w:r>
    </w:p>
    <w:p w:rsidR="00220B3F" w:rsidRPr="00C8758A" w:rsidRDefault="00220B3F" w:rsidP="00220B3F">
      <w:pPr>
        <w:tabs>
          <w:tab w:val="left" w:pos="851"/>
        </w:tabs>
        <w:ind w:firstLine="709"/>
        <w:rPr>
          <w:sz w:val="24"/>
          <w:szCs w:val="24"/>
        </w:rPr>
      </w:pPr>
      <w:r w:rsidRPr="00C8758A">
        <w:rPr>
          <w:sz w:val="24"/>
          <w:szCs w:val="24"/>
        </w:rPr>
        <w:t>- 60 805,7 тыс.руб. на 2019 год - 95 газопроводов общей протяженностью 224,2 тыс. п.м, расположенные на 74 земельных участках общей площадью 4,4 тыс. кв.м</w:t>
      </w:r>
      <w:r>
        <w:rPr>
          <w:sz w:val="24"/>
          <w:szCs w:val="24"/>
        </w:rPr>
        <w:t xml:space="preserve">. Таким образом, </w:t>
      </w:r>
      <w:r w:rsidRPr="00C8758A">
        <w:rPr>
          <w:sz w:val="24"/>
          <w:szCs w:val="24"/>
        </w:rPr>
        <w:t>все объекты газового хозяйства</w:t>
      </w:r>
      <w:r>
        <w:rPr>
          <w:sz w:val="24"/>
          <w:szCs w:val="24"/>
        </w:rPr>
        <w:t xml:space="preserve"> с </w:t>
      </w:r>
      <w:r w:rsidRPr="00C8758A">
        <w:rPr>
          <w:sz w:val="24"/>
          <w:szCs w:val="24"/>
        </w:rPr>
        <w:t>земельны</w:t>
      </w:r>
      <w:r>
        <w:rPr>
          <w:sz w:val="24"/>
          <w:szCs w:val="24"/>
        </w:rPr>
        <w:t>ми участками</w:t>
      </w:r>
      <w:r w:rsidRPr="00C8758A">
        <w:rPr>
          <w:sz w:val="24"/>
          <w:szCs w:val="24"/>
        </w:rPr>
        <w:t xml:space="preserve"> под ними, на которые зарегистрировано право собственности Томской области, </w:t>
      </w:r>
      <w:r>
        <w:rPr>
          <w:sz w:val="24"/>
          <w:szCs w:val="24"/>
        </w:rPr>
        <w:t xml:space="preserve">включены в </w:t>
      </w:r>
      <w:r w:rsidRPr="005A6EE2">
        <w:rPr>
          <w:color w:val="000000"/>
          <w:sz w:val="24"/>
          <w:szCs w:val="24"/>
        </w:rPr>
        <w:t xml:space="preserve">Прогнозный план (программу) приватизации. </w:t>
      </w:r>
      <w:r w:rsidRPr="00C8758A">
        <w:rPr>
          <w:sz w:val="24"/>
          <w:szCs w:val="24"/>
        </w:rPr>
        <w:t xml:space="preserve">Указанные объекты </w:t>
      </w:r>
      <w:r>
        <w:rPr>
          <w:sz w:val="24"/>
          <w:szCs w:val="24"/>
        </w:rPr>
        <w:t xml:space="preserve">газового хозяйства </w:t>
      </w:r>
      <w:r w:rsidRPr="00C8758A">
        <w:rPr>
          <w:sz w:val="24"/>
          <w:szCs w:val="24"/>
        </w:rPr>
        <w:t xml:space="preserve">также неоднократно включались в приватизацию, несостоявшуюся в связи с отсутствием заявок от потенциальных покупателей и получением уведомления (от 06.07.2015) от ООО «Газпром межрегионгаз» - учредителя ООО «Газпром газораспределение Томск», арендующего у Томской области </w:t>
      </w:r>
      <w:r>
        <w:rPr>
          <w:sz w:val="24"/>
          <w:szCs w:val="24"/>
        </w:rPr>
        <w:t>данные</w:t>
      </w:r>
      <w:r w:rsidRPr="00C8758A">
        <w:rPr>
          <w:sz w:val="24"/>
          <w:szCs w:val="24"/>
        </w:rPr>
        <w:t xml:space="preserve"> газопроводы, об отсутствии намерений в их приобретении.</w:t>
      </w:r>
    </w:p>
    <w:p w:rsidR="00220B3F" w:rsidRPr="005A6EE2" w:rsidRDefault="00220B3F" w:rsidP="00220B3F">
      <w:pPr>
        <w:tabs>
          <w:tab w:val="left" w:pos="851"/>
        </w:tabs>
        <w:ind w:firstLine="709"/>
        <w:rPr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>Фактически расчет прогнозируемых поступлений доходов от приватизации областного государственного имущества осуществлен администратором данных доходов в основном в соответствии с утвержденной Методикой прогнозирования поступлений доходов (с применением метода прямого счета исходя из количества объектов, планируемых к приватизации, и их рыночной без учета НДС или балансовой (остаточной) стоимости, а по земельным участкам - исходя из их рыночной или кадастровой стоимости). Однако по объектам недвижимости с нулевой остаточной стоимостью при отсутствии данных об их рыночной стоимости</w:t>
      </w:r>
      <w:r w:rsidRPr="005A6EE2">
        <w:rPr>
          <w:b/>
          <w:color w:val="000000"/>
          <w:sz w:val="24"/>
          <w:szCs w:val="24"/>
        </w:rPr>
        <w:t xml:space="preserve"> </w:t>
      </w:r>
      <w:r w:rsidRPr="005A6EE2">
        <w:rPr>
          <w:color w:val="000000"/>
          <w:sz w:val="24"/>
          <w:szCs w:val="24"/>
        </w:rPr>
        <w:t>прогнозируемое поступление доходов от приватизации определено</w:t>
      </w:r>
      <w:r w:rsidRPr="005A6EE2">
        <w:rPr>
          <w:b/>
          <w:color w:val="000000"/>
          <w:sz w:val="24"/>
          <w:szCs w:val="24"/>
        </w:rPr>
        <w:t xml:space="preserve"> </w:t>
      </w:r>
      <w:r w:rsidRPr="005A6EE2">
        <w:rPr>
          <w:color w:val="000000"/>
          <w:sz w:val="24"/>
          <w:szCs w:val="24"/>
        </w:rPr>
        <w:t>исходя из собственных суждений</w:t>
      </w:r>
      <w:r w:rsidRPr="005A6EE2">
        <w:rPr>
          <w:b/>
          <w:color w:val="000000"/>
          <w:sz w:val="24"/>
          <w:szCs w:val="24"/>
        </w:rPr>
        <w:t xml:space="preserve"> </w:t>
      </w:r>
      <w:r w:rsidRPr="005A6EE2">
        <w:rPr>
          <w:color w:val="000000"/>
          <w:sz w:val="24"/>
          <w:szCs w:val="24"/>
        </w:rPr>
        <w:t>администратора доходов (вышеуказанной Методикой расчет прогнозируемых доходов от приватизации таких объектов не предусмотрен), а именно с применением сравнительного подхода к размещенной в сети Интернет информации по сходным объектам (на 2017 год - по 16 зданиям ОГУ «Томские леса», в том числе входящим в состав четырех имущественных комплексов; на 2018 год - по 6 зданиям ОГУ «Томские леса», в том числе входящим в состав имущественного комплекса в г. Асино); кроме того, по трем сооружениям, входящим в состав имущественного комплекса, расположенного по адресу: г. Томск, ул. Угрюмова, 1,</w:t>
      </w:r>
      <w:r w:rsidRPr="00D77B3D">
        <w:rPr>
          <w:sz w:val="24"/>
        </w:rPr>
        <w:t xml:space="preserve"> для расчета прогноза поступлений доходов </w:t>
      </w:r>
      <w:r>
        <w:rPr>
          <w:sz w:val="24"/>
        </w:rPr>
        <w:t xml:space="preserve">на 2018 год </w:t>
      </w:r>
      <w:r w:rsidRPr="00D77B3D">
        <w:rPr>
          <w:sz w:val="24"/>
        </w:rPr>
        <w:t xml:space="preserve">принята оценка </w:t>
      </w:r>
      <w:r>
        <w:rPr>
          <w:sz w:val="24"/>
        </w:rPr>
        <w:t xml:space="preserve">их </w:t>
      </w:r>
      <w:r w:rsidRPr="00D77B3D">
        <w:rPr>
          <w:sz w:val="24"/>
        </w:rPr>
        <w:t xml:space="preserve">рыночной стоимости по отчетам об оценке, с даты составления которых прошло </w:t>
      </w:r>
      <w:r w:rsidRPr="004A6762">
        <w:rPr>
          <w:sz w:val="24"/>
          <w:u w:val="single"/>
        </w:rPr>
        <w:t>более двух лет</w:t>
      </w:r>
      <w:r w:rsidRPr="00F86A71">
        <w:rPr>
          <w:sz w:val="24"/>
        </w:rPr>
        <w:t xml:space="preserve"> (</w:t>
      </w:r>
      <w:r w:rsidRPr="005A6EE2">
        <w:rPr>
          <w:color w:val="000000"/>
          <w:sz w:val="24"/>
          <w:szCs w:val="24"/>
        </w:rPr>
        <w:t>подготовленных в</w:t>
      </w:r>
      <w:r w:rsidRPr="00F86A71">
        <w:rPr>
          <w:sz w:val="24"/>
        </w:rPr>
        <w:t xml:space="preserve"> август</w:t>
      </w:r>
      <w:r>
        <w:rPr>
          <w:sz w:val="24"/>
        </w:rPr>
        <w:t>е</w:t>
      </w:r>
      <w:r w:rsidRPr="00F86A71">
        <w:rPr>
          <w:sz w:val="24"/>
        </w:rPr>
        <w:t xml:space="preserve"> 2014 года</w:t>
      </w:r>
      <w:r>
        <w:rPr>
          <w:sz w:val="24"/>
        </w:rPr>
        <w:t>), при этом имеется отчет об оценке рыночной стоимости данных объектов, подготовленный в ноябре 2015 г.</w:t>
      </w:r>
      <w:r w:rsidRPr="005A6EE2">
        <w:rPr>
          <w:color w:val="000000"/>
          <w:sz w:val="24"/>
          <w:szCs w:val="24"/>
        </w:rPr>
        <w:t xml:space="preserve"> </w:t>
      </w:r>
    </w:p>
    <w:p w:rsidR="00220B3F" w:rsidRPr="005A6EE2" w:rsidRDefault="00220B3F" w:rsidP="00220B3F">
      <w:pPr>
        <w:ind w:firstLine="709"/>
        <w:rPr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 xml:space="preserve">По объектам газового хозяйства </w:t>
      </w:r>
      <w:r w:rsidRPr="00D77B3D">
        <w:rPr>
          <w:sz w:val="24"/>
        </w:rPr>
        <w:t xml:space="preserve">расчет прогноза поступлений доходов </w:t>
      </w:r>
      <w:r>
        <w:rPr>
          <w:sz w:val="24"/>
        </w:rPr>
        <w:t>на 2019 год осуществлен</w:t>
      </w:r>
      <w:r w:rsidRPr="005A6EE2">
        <w:rPr>
          <w:color w:val="000000"/>
          <w:sz w:val="24"/>
          <w:szCs w:val="24"/>
        </w:rPr>
        <w:t xml:space="preserve"> также на основании отчетов об оценке </w:t>
      </w:r>
      <w:r w:rsidRPr="00D95A1A">
        <w:rPr>
          <w:sz w:val="24"/>
        </w:rPr>
        <w:t>их рыночной стоимости</w:t>
      </w:r>
      <w:r w:rsidRPr="00D77B3D">
        <w:rPr>
          <w:sz w:val="24"/>
        </w:rPr>
        <w:t xml:space="preserve">, с даты составления которых прошло </w:t>
      </w:r>
      <w:r w:rsidRPr="00D95A1A">
        <w:rPr>
          <w:sz w:val="24"/>
        </w:rPr>
        <w:t>более двух лет</w:t>
      </w:r>
      <w:r w:rsidRPr="005A6EE2">
        <w:rPr>
          <w:color w:val="000000"/>
          <w:sz w:val="24"/>
          <w:szCs w:val="24"/>
        </w:rPr>
        <w:t xml:space="preserve"> (подготовленных в сентябре, декабре 2013 г. и мае 2014 г.), кроме того, с применением понижающих коэффициентов к вышеуказанной оценке </w:t>
      </w:r>
      <w:r w:rsidRPr="00D95A1A">
        <w:rPr>
          <w:sz w:val="24"/>
        </w:rPr>
        <w:t>их рыночной стоимости</w:t>
      </w:r>
      <w:r w:rsidRPr="005A6EE2">
        <w:rPr>
          <w:color w:val="000000"/>
          <w:sz w:val="24"/>
          <w:szCs w:val="24"/>
        </w:rPr>
        <w:t>: 0,2 - по 60 объектам газового хозяйства; 0,02 - по 35 объектам газового хозяйства и 33 земельным участкам под ними.</w:t>
      </w:r>
    </w:p>
    <w:p w:rsidR="00220B3F" w:rsidRPr="005A6EE2" w:rsidRDefault="00220B3F" w:rsidP="00220B3F">
      <w:pPr>
        <w:ind w:firstLine="709"/>
        <w:rPr>
          <w:color w:val="000000"/>
          <w:sz w:val="24"/>
          <w:szCs w:val="24"/>
        </w:rPr>
      </w:pPr>
      <w:r w:rsidRPr="005A6EE2">
        <w:rPr>
          <w:color w:val="000000"/>
          <w:sz w:val="24"/>
          <w:szCs w:val="24"/>
        </w:rPr>
        <w:t>Также отметим, что Методика прогнозирования поступлений доходов в областной бюджет от реализации иного имущества и земельных участков, находящихся в собственности субъекта РФ, не учитывает прогноз доходов по объектам, завершение процедуры приватизации которых переходит с текущего на планируемый финансовый год, кроме того, содержит неполный состав источников данных для всех показателей, используемых для расчета прогнозного объема поступлений доходов.</w:t>
      </w:r>
    </w:p>
    <w:p w:rsidR="00220B3F" w:rsidRPr="005A6EE2" w:rsidRDefault="00220B3F" w:rsidP="00220B3F">
      <w:pPr>
        <w:ind w:firstLine="709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В отношении имущества, числящегося за ОГУ «Томские леса», включенного в </w:t>
      </w:r>
      <w:r w:rsidRPr="00361D26">
        <w:rPr>
          <w:sz w:val="24"/>
          <w:szCs w:val="24"/>
        </w:rPr>
        <w:t xml:space="preserve">Прогнозный план </w:t>
      </w:r>
      <w:r>
        <w:rPr>
          <w:sz w:val="24"/>
          <w:szCs w:val="24"/>
        </w:rPr>
        <w:t>(программу) приватизации на 2017 год (</w:t>
      </w:r>
      <w:r w:rsidRPr="00361D26">
        <w:rPr>
          <w:sz w:val="24"/>
          <w:szCs w:val="24"/>
        </w:rPr>
        <w:t xml:space="preserve">27 зданий, строений, сооружений </w:t>
      </w:r>
      <w:r>
        <w:rPr>
          <w:sz w:val="24"/>
          <w:szCs w:val="24"/>
        </w:rPr>
        <w:t>с</w:t>
      </w:r>
      <w:r w:rsidRPr="00361D26">
        <w:rPr>
          <w:sz w:val="24"/>
          <w:szCs w:val="24"/>
        </w:rPr>
        <w:t xml:space="preserve"> 10 земельны</w:t>
      </w:r>
      <w:r>
        <w:rPr>
          <w:sz w:val="24"/>
          <w:szCs w:val="24"/>
        </w:rPr>
        <w:t>ми</w:t>
      </w:r>
      <w:r w:rsidRPr="00361D26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ами) и</w:t>
      </w:r>
      <w:r w:rsidRPr="00361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1D26">
        <w:rPr>
          <w:sz w:val="24"/>
          <w:szCs w:val="24"/>
        </w:rPr>
        <w:t xml:space="preserve">2018 год </w:t>
      </w:r>
      <w:r>
        <w:rPr>
          <w:sz w:val="24"/>
          <w:szCs w:val="24"/>
        </w:rPr>
        <w:t>(</w:t>
      </w:r>
      <w:r w:rsidRPr="00361D26">
        <w:rPr>
          <w:sz w:val="24"/>
          <w:szCs w:val="24"/>
        </w:rPr>
        <w:t>11 зданий</w:t>
      </w:r>
      <w:r>
        <w:rPr>
          <w:sz w:val="24"/>
          <w:szCs w:val="24"/>
        </w:rPr>
        <w:t>,</w:t>
      </w:r>
      <w:r w:rsidRPr="00361D26">
        <w:rPr>
          <w:sz w:val="24"/>
          <w:szCs w:val="24"/>
        </w:rPr>
        <w:t xml:space="preserve"> строений, земельные участки</w:t>
      </w:r>
      <w:r>
        <w:rPr>
          <w:sz w:val="24"/>
          <w:szCs w:val="24"/>
        </w:rPr>
        <w:t xml:space="preserve"> под которыми </w:t>
      </w:r>
      <w:r w:rsidRPr="00361D26">
        <w:rPr>
          <w:sz w:val="24"/>
          <w:szCs w:val="24"/>
        </w:rPr>
        <w:t>не сформированы</w:t>
      </w:r>
      <w:r>
        <w:rPr>
          <w:sz w:val="24"/>
          <w:szCs w:val="24"/>
        </w:rPr>
        <w:t xml:space="preserve">) отметим следующее. Несмотря на то, что </w:t>
      </w:r>
      <w:r w:rsidRPr="00361D26">
        <w:rPr>
          <w:sz w:val="24"/>
          <w:szCs w:val="24"/>
        </w:rPr>
        <w:t>Прогнозны</w:t>
      </w:r>
      <w:r>
        <w:rPr>
          <w:sz w:val="24"/>
          <w:szCs w:val="24"/>
        </w:rPr>
        <w:t>м</w:t>
      </w:r>
      <w:r w:rsidRPr="00361D26">
        <w:rPr>
          <w:sz w:val="24"/>
          <w:szCs w:val="24"/>
        </w:rPr>
        <w:t xml:space="preserve"> план</w:t>
      </w:r>
      <w:r>
        <w:rPr>
          <w:sz w:val="24"/>
          <w:szCs w:val="24"/>
        </w:rPr>
        <w:t>ом</w:t>
      </w:r>
      <w:r w:rsidRPr="00361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(программой)  приватизации на 2015-2017 г.г., утвержденным Законом Томской области </w:t>
      </w:r>
      <w:r w:rsidRPr="005A6EE2">
        <w:rPr>
          <w:rFonts w:eastAsia="Calibri"/>
          <w:sz w:val="24"/>
          <w:szCs w:val="24"/>
        </w:rPr>
        <w:t>от 30.12.2014 № 193-ОЗ</w:t>
      </w:r>
      <w:r>
        <w:rPr>
          <w:sz w:val="24"/>
          <w:szCs w:val="24"/>
        </w:rPr>
        <w:t>, была предусмотрена приватизация имущества ОГУ «Томские леса» в 2016-2017 г.г.</w:t>
      </w:r>
      <w:r w:rsidRPr="005A6EE2">
        <w:rPr>
          <w:rFonts w:eastAsia="Calibri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инвентаризация имущества данного областного госучреждения до настоящего времени не проведена.</w:t>
      </w:r>
      <w:r w:rsidRPr="005A6EE2">
        <w:rPr>
          <w:rFonts w:eastAsia="Calibri"/>
          <w:color w:val="000000"/>
          <w:sz w:val="24"/>
          <w:szCs w:val="24"/>
        </w:rPr>
        <w:t xml:space="preserve"> О</w:t>
      </w:r>
      <w:r w:rsidRPr="00361D26">
        <w:rPr>
          <w:sz w:val="24"/>
          <w:szCs w:val="24"/>
        </w:rPr>
        <w:t>смотр объектов</w:t>
      </w:r>
      <w:r>
        <w:rPr>
          <w:sz w:val="24"/>
          <w:szCs w:val="24"/>
        </w:rPr>
        <w:t xml:space="preserve"> ОГУ «Томские леса»</w:t>
      </w:r>
      <w:r w:rsidRPr="00361D2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том числе </w:t>
      </w:r>
      <w:r w:rsidRPr="00361D26">
        <w:rPr>
          <w:sz w:val="24"/>
          <w:szCs w:val="24"/>
        </w:rPr>
        <w:t xml:space="preserve">включенных в Прогнозный план </w:t>
      </w:r>
      <w:r>
        <w:rPr>
          <w:sz w:val="24"/>
          <w:szCs w:val="24"/>
        </w:rPr>
        <w:t xml:space="preserve">(программу) </w:t>
      </w:r>
      <w:r w:rsidRPr="00361D26">
        <w:rPr>
          <w:sz w:val="24"/>
          <w:szCs w:val="24"/>
        </w:rPr>
        <w:t>приватизации</w:t>
      </w:r>
      <w:r>
        <w:rPr>
          <w:sz w:val="24"/>
          <w:szCs w:val="24"/>
        </w:rPr>
        <w:t xml:space="preserve"> на 2017 и 2018 годы</w:t>
      </w:r>
      <w:r w:rsidRPr="00361D26">
        <w:rPr>
          <w:sz w:val="24"/>
          <w:szCs w:val="24"/>
        </w:rPr>
        <w:t xml:space="preserve">, </w:t>
      </w:r>
      <w:r>
        <w:rPr>
          <w:sz w:val="24"/>
          <w:szCs w:val="24"/>
        </w:rPr>
        <w:t>с целью получения</w:t>
      </w:r>
      <w:r w:rsidRPr="00361D26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 w:rsidRPr="00361D26">
        <w:rPr>
          <w:sz w:val="24"/>
          <w:szCs w:val="24"/>
        </w:rPr>
        <w:t xml:space="preserve"> </w:t>
      </w:r>
      <w:r w:rsidRPr="00B51926">
        <w:rPr>
          <w:sz w:val="24"/>
          <w:szCs w:val="24"/>
        </w:rPr>
        <w:t>об их фактическом наличии</w:t>
      </w:r>
      <w:r w:rsidRPr="00361D26">
        <w:rPr>
          <w:sz w:val="24"/>
          <w:szCs w:val="24"/>
        </w:rPr>
        <w:t>, зарегистрированных правах, адресах, др.</w:t>
      </w:r>
      <w:r>
        <w:rPr>
          <w:sz w:val="24"/>
          <w:szCs w:val="24"/>
        </w:rPr>
        <w:t>,</w:t>
      </w:r>
      <w:r w:rsidRPr="00361D26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данным</w:t>
      </w:r>
      <w:r w:rsidRPr="00361D26">
        <w:rPr>
          <w:sz w:val="24"/>
          <w:szCs w:val="24"/>
        </w:rPr>
        <w:t xml:space="preserve"> Департамента лесного хозяйства</w:t>
      </w:r>
      <w:r>
        <w:rPr>
          <w:sz w:val="24"/>
          <w:szCs w:val="24"/>
        </w:rPr>
        <w:t xml:space="preserve"> Томской области</w:t>
      </w:r>
      <w:r w:rsidRPr="00361D26">
        <w:rPr>
          <w:sz w:val="24"/>
          <w:szCs w:val="24"/>
        </w:rPr>
        <w:t xml:space="preserve">, планируется провести </w:t>
      </w:r>
      <w:r>
        <w:rPr>
          <w:sz w:val="24"/>
          <w:szCs w:val="24"/>
        </w:rPr>
        <w:t>лишь в 2017 году (</w:t>
      </w:r>
      <w:r w:rsidRPr="00361D26">
        <w:rPr>
          <w:sz w:val="24"/>
          <w:szCs w:val="24"/>
        </w:rPr>
        <w:t xml:space="preserve">в срок до 01.07.2017 </w:t>
      </w:r>
      <w:r>
        <w:rPr>
          <w:sz w:val="24"/>
          <w:szCs w:val="24"/>
        </w:rPr>
        <w:t>г.)</w:t>
      </w:r>
      <w:r w:rsidRPr="00361D26">
        <w:rPr>
          <w:sz w:val="24"/>
          <w:szCs w:val="24"/>
        </w:rPr>
        <w:t>.</w:t>
      </w:r>
    </w:p>
    <w:p w:rsidR="00220B3F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С</w:t>
      </w:r>
      <w:r w:rsidRPr="00F7775D">
        <w:rPr>
          <w:sz w:val="24"/>
          <w:szCs w:val="24"/>
        </w:rPr>
        <w:t xml:space="preserve">огласно </w:t>
      </w:r>
      <w:r>
        <w:rPr>
          <w:sz w:val="24"/>
          <w:szCs w:val="24"/>
        </w:rPr>
        <w:t xml:space="preserve">данным </w:t>
      </w:r>
      <w:r w:rsidRPr="00F7775D">
        <w:rPr>
          <w:sz w:val="24"/>
          <w:szCs w:val="24"/>
        </w:rPr>
        <w:t>Реестр</w:t>
      </w:r>
      <w:r>
        <w:rPr>
          <w:sz w:val="24"/>
          <w:szCs w:val="24"/>
        </w:rPr>
        <w:t>а</w:t>
      </w:r>
      <w:r w:rsidRPr="00F7775D">
        <w:rPr>
          <w:sz w:val="24"/>
          <w:szCs w:val="24"/>
        </w:rPr>
        <w:t xml:space="preserve"> государственного имущества Томск</w:t>
      </w:r>
      <w:r>
        <w:rPr>
          <w:sz w:val="24"/>
          <w:szCs w:val="24"/>
        </w:rPr>
        <w:t>ой области, по состоянию на 01.10</w:t>
      </w:r>
      <w:r w:rsidRPr="00F7775D">
        <w:rPr>
          <w:sz w:val="24"/>
          <w:szCs w:val="24"/>
        </w:rPr>
        <w:t xml:space="preserve">.2016 </w:t>
      </w:r>
      <w:r>
        <w:rPr>
          <w:sz w:val="24"/>
          <w:szCs w:val="24"/>
        </w:rPr>
        <w:t>г. в</w:t>
      </w:r>
      <w:r w:rsidRPr="00F77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ОГУ «Томские леса» </w:t>
      </w:r>
      <w:r w:rsidRPr="00F7775D">
        <w:rPr>
          <w:sz w:val="24"/>
          <w:szCs w:val="24"/>
        </w:rPr>
        <w:t>числилось 14</w:t>
      </w:r>
      <w:r>
        <w:rPr>
          <w:sz w:val="24"/>
          <w:szCs w:val="24"/>
        </w:rPr>
        <w:t>3</w:t>
      </w:r>
      <w:r w:rsidRPr="00F7775D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</w:t>
      </w:r>
      <w:r w:rsidRPr="00F7775D">
        <w:rPr>
          <w:sz w:val="24"/>
          <w:szCs w:val="24"/>
        </w:rPr>
        <w:t xml:space="preserve"> недвижимого имущества общей первоначальной стоимостью 5</w:t>
      </w:r>
      <w:r>
        <w:rPr>
          <w:sz w:val="24"/>
          <w:szCs w:val="24"/>
        </w:rPr>
        <w:t>6,3</w:t>
      </w:r>
      <w:r w:rsidRPr="00F7775D">
        <w:rPr>
          <w:sz w:val="24"/>
          <w:szCs w:val="24"/>
        </w:rPr>
        <w:t xml:space="preserve"> млн.руб., остаточной - 12,</w:t>
      </w:r>
      <w:r>
        <w:rPr>
          <w:sz w:val="24"/>
          <w:szCs w:val="24"/>
        </w:rPr>
        <w:t>3</w:t>
      </w:r>
      <w:r w:rsidRPr="00F7775D">
        <w:rPr>
          <w:sz w:val="24"/>
          <w:szCs w:val="24"/>
        </w:rPr>
        <w:t xml:space="preserve"> млн.руб. (из них право собственности Томской области зарегистрировано на </w:t>
      </w:r>
      <w:r>
        <w:rPr>
          <w:sz w:val="24"/>
          <w:szCs w:val="24"/>
        </w:rPr>
        <w:t>89</w:t>
      </w:r>
      <w:r w:rsidRPr="00F7775D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F7775D">
        <w:rPr>
          <w:sz w:val="24"/>
          <w:szCs w:val="24"/>
        </w:rPr>
        <w:t xml:space="preserve">); объекты движимого имущества общей первоначальной стоимостью 89,8 млн. руб., в том числе 269 объектов стоимостью </w:t>
      </w:r>
      <w:r>
        <w:rPr>
          <w:sz w:val="24"/>
          <w:szCs w:val="24"/>
        </w:rPr>
        <w:t xml:space="preserve">каждый </w:t>
      </w:r>
      <w:r w:rsidRPr="00F7775D">
        <w:rPr>
          <w:sz w:val="24"/>
          <w:szCs w:val="24"/>
        </w:rPr>
        <w:t>более 100 тыс.руб. - 244 транспортных средства (автомобили, трактор</w:t>
      </w:r>
      <w:r>
        <w:rPr>
          <w:sz w:val="24"/>
          <w:szCs w:val="24"/>
        </w:rPr>
        <w:t>ы</w:t>
      </w:r>
      <w:r w:rsidRPr="00F7775D">
        <w:rPr>
          <w:sz w:val="24"/>
          <w:szCs w:val="24"/>
        </w:rPr>
        <w:t xml:space="preserve">, самосвалы, бензовозы, теплоход, др.) и 25 единиц прочего имущества (паром, пилорама, высоковольтная линия, трансформатор, подстанция, др.). </w:t>
      </w:r>
      <w:r w:rsidRPr="009A08A3">
        <w:rPr>
          <w:b/>
          <w:sz w:val="24"/>
          <w:szCs w:val="24"/>
        </w:rPr>
        <w:t>При этом объекты движимого имущества ОГУ «Томские леса» не включены в Прогнозный план (программу) приватизации ни в составе имущественных комплексов, ни отдельной позицией.</w:t>
      </w:r>
      <w:r>
        <w:rPr>
          <w:sz w:val="24"/>
          <w:szCs w:val="24"/>
        </w:rPr>
        <w:t xml:space="preserve"> </w:t>
      </w:r>
    </w:p>
    <w:p w:rsidR="00220B3F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 w:rsidRPr="00F7775D">
        <w:rPr>
          <w:sz w:val="24"/>
          <w:szCs w:val="24"/>
        </w:rPr>
        <w:tab/>
      </w:r>
      <w:r>
        <w:rPr>
          <w:sz w:val="24"/>
          <w:szCs w:val="24"/>
        </w:rPr>
        <w:t xml:space="preserve">Ликвидация ОГУ «Томские леса», объявленная еще в 2009 году, из-за бездействия отраслевых департаментов, а также недостаточно эффективных действий Департамента по управлению государственной собственностью, так и не была завершена. </w:t>
      </w:r>
      <w:r w:rsidRPr="0069066E">
        <w:rPr>
          <w:sz w:val="24"/>
          <w:szCs w:val="24"/>
        </w:rPr>
        <w:t xml:space="preserve">В настоящее время </w:t>
      </w:r>
      <w:r>
        <w:rPr>
          <w:sz w:val="24"/>
          <w:szCs w:val="24"/>
        </w:rPr>
        <w:t>в соответствии с</w:t>
      </w:r>
      <w:r w:rsidRPr="0069066E">
        <w:rPr>
          <w:sz w:val="24"/>
          <w:szCs w:val="24"/>
        </w:rPr>
        <w:t xml:space="preserve"> План</w:t>
      </w:r>
      <w:r>
        <w:rPr>
          <w:sz w:val="24"/>
          <w:szCs w:val="24"/>
        </w:rPr>
        <w:t>ом</w:t>
      </w:r>
      <w:r w:rsidRPr="0069066E">
        <w:rPr>
          <w:sz w:val="24"/>
          <w:szCs w:val="24"/>
        </w:rPr>
        <w:t xml:space="preserve"> мероприятий (дорожной карт</w:t>
      </w:r>
      <w:r>
        <w:rPr>
          <w:sz w:val="24"/>
          <w:szCs w:val="24"/>
        </w:rPr>
        <w:t>ой</w:t>
      </w:r>
      <w:r w:rsidRPr="0069066E">
        <w:rPr>
          <w:sz w:val="24"/>
          <w:szCs w:val="24"/>
        </w:rPr>
        <w:t>) по урегулированию вопросов ликвидации ОГУ «Томские леса», утвержденн</w:t>
      </w:r>
      <w:r>
        <w:rPr>
          <w:sz w:val="24"/>
          <w:szCs w:val="24"/>
        </w:rPr>
        <w:t>ым</w:t>
      </w:r>
      <w:r w:rsidRPr="0069066E">
        <w:rPr>
          <w:sz w:val="24"/>
          <w:szCs w:val="24"/>
        </w:rPr>
        <w:t xml:space="preserve"> в марте 2016 года, ликвидация данного учреждения отменена распоряжением </w:t>
      </w:r>
      <w:r w:rsidRPr="005A6EE2">
        <w:rPr>
          <w:rFonts w:eastAsia="Calibri"/>
          <w:sz w:val="24"/>
          <w:szCs w:val="24"/>
        </w:rPr>
        <w:t>Администрации Томской области от 06.06.2016 № 345-ра</w:t>
      </w:r>
      <w:r w:rsidRPr="0069066E">
        <w:rPr>
          <w:sz w:val="24"/>
          <w:szCs w:val="24"/>
        </w:rPr>
        <w:t xml:space="preserve"> </w:t>
      </w:r>
      <w:r w:rsidRPr="005A6EE2">
        <w:rPr>
          <w:rFonts w:eastAsia="Calibri"/>
          <w:sz w:val="24"/>
          <w:szCs w:val="24"/>
        </w:rPr>
        <w:t>с целью внесения изменений в устав данного учреждения в части смены учредителя (</w:t>
      </w:r>
      <w:r w:rsidRPr="00361D26">
        <w:rPr>
          <w:sz w:val="24"/>
          <w:szCs w:val="24"/>
        </w:rPr>
        <w:t>Департамент лесного хозяйства</w:t>
      </w:r>
      <w:r w:rsidRPr="005A6EE2">
        <w:rPr>
          <w:rFonts w:eastAsia="Calibri"/>
          <w:sz w:val="24"/>
          <w:szCs w:val="24"/>
        </w:rPr>
        <w:t xml:space="preserve"> Томской области вместо Департамента развития предпринимательства и реального сектора экономики</w:t>
      </w:r>
      <w:r>
        <w:rPr>
          <w:sz w:val="24"/>
          <w:szCs w:val="24"/>
        </w:rPr>
        <w:t>)</w:t>
      </w:r>
      <w:r w:rsidRPr="005A6EE2"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361D26">
        <w:rPr>
          <w:sz w:val="24"/>
          <w:szCs w:val="24"/>
        </w:rPr>
        <w:t xml:space="preserve">о состоянию на 01.09.2016 сроки выполнения предусмотренных </w:t>
      </w:r>
      <w:r>
        <w:rPr>
          <w:sz w:val="24"/>
          <w:szCs w:val="24"/>
        </w:rPr>
        <w:t xml:space="preserve">вышеуказанным </w:t>
      </w:r>
      <w:r w:rsidRPr="00361D26">
        <w:rPr>
          <w:sz w:val="24"/>
          <w:szCs w:val="24"/>
        </w:rPr>
        <w:t>Планом мероприятий</w:t>
      </w:r>
      <w:r>
        <w:rPr>
          <w:sz w:val="24"/>
          <w:szCs w:val="24"/>
        </w:rPr>
        <w:t xml:space="preserve"> (дорожной картой)</w:t>
      </w:r>
      <w:r w:rsidRPr="00361D26">
        <w:rPr>
          <w:sz w:val="24"/>
          <w:szCs w:val="24"/>
        </w:rPr>
        <w:t xml:space="preserve"> Департамент</w:t>
      </w:r>
      <w:r>
        <w:rPr>
          <w:sz w:val="24"/>
          <w:szCs w:val="24"/>
        </w:rPr>
        <w:t>ом</w:t>
      </w:r>
      <w:r w:rsidRPr="00361D26">
        <w:rPr>
          <w:sz w:val="24"/>
          <w:szCs w:val="24"/>
        </w:rPr>
        <w:t xml:space="preserve"> лесного хозяйства </w:t>
      </w:r>
      <w:r w:rsidR="004F7ADF">
        <w:rPr>
          <w:sz w:val="24"/>
          <w:szCs w:val="24"/>
        </w:rPr>
        <w:t>вновь</w:t>
      </w:r>
      <w:r>
        <w:rPr>
          <w:sz w:val="24"/>
          <w:szCs w:val="24"/>
        </w:rPr>
        <w:t xml:space="preserve"> </w:t>
      </w:r>
      <w:r w:rsidRPr="00361D26">
        <w:rPr>
          <w:sz w:val="24"/>
          <w:szCs w:val="24"/>
        </w:rPr>
        <w:t>нарушены</w:t>
      </w:r>
      <w:r>
        <w:rPr>
          <w:sz w:val="24"/>
          <w:szCs w:val="24"/>
        </w:rPr>
        <w:t xml:space="preserve"> - в части </w:t>
      </w:r>
      <w:r w:rsidRPr="00361D26">
        <w:rPr>
          <w:sz w:val="24"/>
          <w:szCs w:val="24"/>
        </w:rPr>
        <w:t>предоставлени</w:t>
      </w:r>
      <w:r>
        <w:rPr>
          <w:sz w:val="24"/>
          <w:szCs w:val="24"/>
        </w:rPr>
        <w:t>я</w:t>
      </w:r>
      <w:r w:rsidRPr="00361D26">
        <w:rPr>
          <w:sz w:val="24"/>
          <w:szCs w:val="24"/>
        </w:rPr>
        <w:t xml:space="preserve"> соответствующих документов для внесения записи в ЕГРЮЛ о смене учредителя ОГУ «Томские леса»</w:t>
      </w:r>
      <w:r>
        <w:rPr>
          <w:sz w:val="24"/>
          <w:szCs w:val="24"/>
        </w:rPr>
        <w:t>,</w:t>
      </w:r>
      <w:r w:rsidRPr="00361D26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361D26">
        <w:rPr>
          <w:sz w:val="24"/>
          <w:szCs w:val="24"/>
        </w:rPr>
        <w:t xml:space="preserve"> проекта распоряжения о </w:t>
      </w:r>
      <w:r>
        <w:rPr>
          <w:sz w:val="24"/>
          <w:szCs w:val="24"/>
        </w:rPr>
        <w:t xml:space="preserve">его </w:t>
      </w:r>
      <w:r w:rsidRPr="00361D26">
        <w:rPr>
          <w:sz w:val="24"/>
          <w:szCs w:val="24"/>
        </w:rPr>
        <w:t>ликвидации</w:t>
      </w:r>
      <w:r>
        <w:rPr>
          <w:sz w:val="24"/>
          <w:szCs w:val="24"/>
        </w:rPr>
        <w:t xml:space="preserve"> и</w:t>
      </w:r>
      <w:r w:rsidRPr="00361D26">
        <w:rPr>
          <w:sz w:val="24"/>
          <w:szCs w:val="24"/>
        </w:rPr>
        <w:t xml:space="preserve"> назначен</w:t>
      </w:r>
      <w:r>
        <w:rPr>
          <w:sz w:val="24"/>
          <w:szCs w:val="24"/>
        </w:rPr>
        <w:t>ии</w:t>
      </w:r>
      <w:r w:rsidRPr="00361D26">
        <w:rPr>
          <w:sz w:val="24"/>
          <w:szCs w:val="24"/>
        </w:rPr>
        <w:t xml:space="preserve"> ликвидационн</w:t>
      </w:r>
      <w:r>
        <w:rPr>
          <w:sz w:val="24"/>
          <w:szCs w:val="24"/>
        </w:rPr>
        <w:t>ой</w:t>
      </w:r>
      <w:r w:rsidRPr="00361D26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 xml:space="preserve">и. </w:t>
      </w:r>
    </w:p>
    <w:p w:rsidR="00220B3F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61D26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ни </w:t>
      </w:r>
      <w:r w:rsidRPr="00361D26">
        <w:rPr>
          <w:sz w:val="24"/>
          <w:szCs w:val="24"/>
        </w:rPr>
        <w:t>фактическое наличие</w:t>
      </w:r>
      <w:r w:rsidRPr="00784973">
        <w:rPr>
          <w:sz w:val="24"/>
          <w:szCs w:val="24"/>
        </w:rPr>
        <w:t xml:space="preserve"> </w:t>
      </w:r>
      <w:r w:rsidRPr="00361D26">
        <w:rPr>
          <w:sz w:val="24"/>
          <w:szCs w:val="24"/>
        </w:rPr>
        <w:t>включенных в Прогнозный план</w:t>
      </w:r>
      <w:r>
        <w:rPr>
          <w:sz w:val="24"/>
          <w:szCs w:val="24"/>
        </w:rPr>
        <w:t xml:space="preserve"> (программу) </w:t>
      </w:r>
      <w:r w:rsidRPr="00361D26">
        <w:rPr>
          <w:sz w:val="24"/>
          <w:szCs w:val="24"/>
        </w:rPr>
        <w:t>приватизации</w:t>
      </w:r>
      <w:r>
        <w:rPr>
          <w:sz w:val="24"/>
          <w:szCs w:val="24"/>
        </w:rPr>
        <w:t xml:space="preserve">  на 2017, 2018 годы </w:t>
      </w:r>
      <w:r w:rsidRPr="00361D26">
        <w:rPr>
          <w:sz w:val="24"/>
          <w:szCs w:val="24"/>
        </w:rPr>
        <w:t>объектов недвижимости</w:t>
      </w:r>
      <w:r>
        <w:rPr>
          <w:sz w:val="24"/>
          <w:szCs w:val="24"/>
        </w:rPr>
        <w:t>, владельцем которых является ОГУ «Томские леса»</w:t>
      </w:r>
      <w:r w:rsidRPr="00361D26">
        <w:rPr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361D26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их </w:t>
      </w:r>
      <w:r w:rsidRPr="00361D26">
        <w:rPr>
          <w:sz w:val="24"/>
          <w:szCs w:val="24"/>
        </w:rPr>
        <w:t xml:space="preserve">состояние не установлено. В связи с </w:t>
      </w:r>
      <w:r>
        <w:rPr>
          <w:sz w:val="24"/>
          <w:szCs w:val="24"/>
        </w:rPr>
        <w:t>вышеизложенным</w:t>
      </w:r>
      <w:r w:rsidRPr="00361D26">
        <w:rPr>
          <w:sz w:val="24"/>
          <w:szCs w:val="24"/>
        </w:rPr>
        <w:t xml:space="preserve"> </w:t>
      </w:r>
      <w:r w:rsidRPr="009B0894">
        <w:rPr>
          <w:b/>
          <w:sz w:val="24"/>
          <w:szCs w:val="24"/>
        </w:rPr>
        <w:t>существуют риски неполучения доходов</w:t>
      </w:r>
      <w:r w:rsidRPr="00361D26">
        <w:rPr>
          <w:sz w:val="24"/>
          <w:szCs w:val="24"/>
        </w:rPr>
        <w:t xml:space="preserve"> от их приватизации</w:t>
      </w:r>
      <w:r>
        <w:rPr>
          <w:sz w:val="24"/>
          <w:szCs w:val="24"/>
        </w:rPr>
        <w:t xml:space="preserve"> в прогнозируемой сумме 33 792,7 тыс.руб.</w:t>
      </w:r>
      <w:r w:rsidRPr="00DB6CF6">
        <w:rPr>
          <w:sz w:val="24"/>
          <w:szCs w:val="24"/>
        </w:rPr>
        <w:t xml:space="preserve"> </w:t>
      </w:r>
      <w:r>
        <w:rPr>
          <w:sz w:val="24"/>
          <w:szCs w:val="24"/>
        </w:rPr>
        <w:t>- в 2017 году, 1 500,3 тыс.руб. - в 2018 году.</w:t>
      </w:r>
    </w:p>
    <w:p w:rsidR="00220B3F" w:rsidRPr="00361D26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Кроме того, отметим, что а</w:t>
      </w:r>
      <w:r w:rsidRPr="00361D26">
        <w:rPr>
          <w:sz w:val="24"/>
          <w:szCs w:val="24"/>
        </w:rPr>
        <w:t xml:space="preserve">налогичная ситуация наблюдается и в отношении ОГУ «Кедровский лесхоз», ликвидация которого </w:t>
      </w:r>
      <w:r>
        <w:rPr>
          <w:sz w:val="24"/>
          <w:szCs w:val="24"/>
        </w:rPr>
        <w:t>была объявлена более 5 лет назад</w:t>
      </w:r>
      <w:r w:rsidRPr="00361D26"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 w:rsidRPr="00361D26">
        <w:rPr>
          <w:sz w:val="24"/>
          <w:szCs w:val="24"/>
        </w:rPr>
        <w:t xml:space="preserve"> феврал</w:t>
      </w:r>
      <w:r>
        <w:rPr>
          <w:sz w:val="24"/>
          <w:szCs w:val="24"/>
        </w:rPr>
        <w:t>е</w:t>
      </w:r>
      <w:r w:rsidRPr="00361D26">
        <w:rPr>
          <w:sz w:val="24"/>
          <w:szCs w:val="24"/>
        </w:rPr>
        <w:t xml:space="preserve"> 2011 года). </w:t>
      </w:r>
      <w:r w:rsidRPr="00F7775D">
        <w:rPr>
          <w:sz w:val="24"/>
          <w:szCs w:val="24"/>
        </w:rPr>
        <w:t>В данном учреждении</w:t>
      </w:r>
      <w:r w:rsidRPr="00CD6504">
        <w:rPr>
          <w:sz w:val="24"/>
          <w:szCs w:val="24"/>
        </w:rPr>
        <w:t xml:space="preserve"> </w:t>
      </w:r>
      <w:r w:rsidRPr="00F7775D">
        <w:rPr>
          <w:sz w:val="24"/>
          <w:szCs w:val="24"/>
        </w:rPr>
        <w:t>на 01.</w:t>
      </w:r>
      <w:r>
        <w:rPr>
          <w:sz w:val="24"/>
          <w:szCs w:val="24"/>
        </w:rPr>
        <w:t>10</w:t>
      </w:r>
      <w:r w:rsidRPr="00F7775D">
        <w:rPr>
          <w:sz w:val="24"/>
          <w:szCs w:val="24"/>
        </w:rPr>
        <w:t xml:space="preserve">.2016 </w:t>
      </w:r>
      <w:r>
        <w:rPr>
          <w:sz w:val="24"/>
          <w:szCs w:val="24"/>
        </w:rPr>
        <w:t>по</w:t>
      </w:r>
      <w:r w:rsidRPr="00F7775D">
        <w:rPr>
          <w:sz w:val="24"/>
          <w:szCs w:val="24"/>
        </w:rPr>
        <w:t xml:space="preserve"> Реестру государственного имущества Томской области </w:t>
      </w:r>
      <w:r w:rsidRPr="00361D26">
        <w:rPr>
          <w:sz w:val="24"/>
          <w:szCs w:val="24"/>
        </w:rPr>
        <w:t>числилось 3 объекта недвижимости (право собственности Томской области не оформлено) и объекты движимого имущества общей первоначальной стоимостью 808,4 тыс. руб., в том числе 4 объекта стоимостью каждый</w:t>
      </w:r>
      <w:r>
        <w:rPr>
          <w:sz w:val="24"/>
          <w:szCs w:val="24"/>
        </w:rPr>
        <w:t xml:space="preserve"> </w:t>
      </w:r>
      <w:r w:rsidRPr="00361D26">
        <w:rPr>
          <w:sz w:val="24"/>
          <w:szCs w:val="24"/>
        </w:rPr>
        <w:t xml:space="preserve">более 100 тыс. руб. </w:t>
      </w:r>
      <w:r>
        <w:rPr>
          <w:sz w:val="24"/>
          <w:szCs w:val="24"/>
        </w:rPr>
        <w:t xml:space="preserve">(автомобили, тракторы), но Прогнозный план (программа) приватизации на 2017-2019 годы сформирован без учета возможной приватизации данных объектов. </w:t>
      </w:r>
    </w:p>
    <w:p w:rsidR="00220B3F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связи с трудностями в вопросах приватизации объектов газового хозяйства </w:t>
      </w:r>
      <w:r w:rsidRPr="00361D26">
        <w:rPr>
          <w:sz w:val="24"/>
          <w:szCs w:val="24"/>
        </w:rPr>
        <w:t>существуют риски неполучения</w:t>
      </w:r>
      <w:r>
        <w:rPr>
          <w:sz w:val="24"/>
          <w:szCs w:val="24"/>
        </w:rPr>
        <w:t xml:space="preserve"> </w:t>
      </w:r>
      <w:r w:rsidRPr="00361D26">
        <w:rPr>
          <w:sz w:val="24"/>
          <w:szCs w:val="24"/>
        </w:rPr>
        <w:t xml:space="preserve">доходов </w:t>
      </w:r>
      <w:r>
        <w:rPr>
          <w:sz w:val="24"/>
          <w:szCs w:val="24"/>
        </w:rPr>
        <w:t xml:space="preserve">в 2019 году в сумме 60 815,7 тыс.руб. </w:t>
      </w:r>
    </w:p>
    <w:p w:rsidR="00220B3F" w:rsidRDefault="00220B3F" w:rsidP="00220B3F">
      <w:pPr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Учитывая</w:t>
      </w:r>
      <w:r w:rsidRPr="00696A06">
        <w:rPr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 w:rsidRPr="00696A06">
        <w:rPr>
          <w:sz w:val="24"/>
          <w:szCs w:val="24"/>
        </w:rPr>
        <w:t>изложенн</w:t>
      </w:r>
      <w:r>
        <w:rPr>
          <w:sz w:val="24"/>
          <w:szCs w:val="24"/>
        </w:rPr>
        <w:t>ое,</w:t>
      </w:r>
      <w:r w:rsidRPr="00696A06">
        <w:rPr>
          <w:sz w:val="24"/>
          <w:szCs w:val="24"/>
        </w:rPr>
        <w:t xml:space="preserve"> </w:t>
      </w:r>
      <w:r w:rsidRPr="009A08A3">
        <w:rPr>
          <w:b/>
          <w:sz w:val="24"/>
          <w:szCs w:val="24"/>
        </w:rPr>
        <w:t>не представляется возможным подтвердить обоснованность запланированной приватизации 225 объектов областного недвижимого имущества (</w:t>
      </w:r>
      <w:r>
        <w:rPr>
          <w:b/>
          <w:sz w:val="24"/>
          <w:szCs w:val="24"/>
        </w:rPr>
        <w:t>движимое</w:t>
      </w:r>
      <w:r w:rsidRPr="009A08A3">
        <w:rPr>
          <w:b/>
          <w:sz w:val="24"/>
          <w:szCs w:val="24"/>
        </w:rPr>
        <w:t xml:space="preserve"> имуществ</w:t>
      </w:r>
      <w:r>
        <w:rPr>
          <w:b/>
          <w:sz w:val="24"/>
          <w:szCs w:val="24"/>
        </w:rPr>
        <w:t>о</w:t>
      </w:r>
      <w:r w:rsidRPr="009A08A3">
        <w:rPr>
          <w:b/>
          <w:sz w:val="24"/>
          <w:szCs w:val="24"/>
        </w:rPr>
        <w:t xml:space="preserve"> ОГУ «Томские леса» не включен</w:t>
      </w:r>
      <w:r>
        <w:rPr>
          <w:b/>
          <w:sz w:val="24"/>
          <w:szCs w:val="24"/>
        </w:rPr>
        <w:t>о</w:t>
      </w:r>
      <w:r w:rsidRPr="009A08A3">
        <w:rPr>
          <w:b/>
          <w:sz w:val="24"/>
          <w:szCs w:val="24"/>
        </w:rPr>
        <w:t xml:space="preserve"> в Прогнозный план приватизации ни в составе имущественных комплексов, ни отдельной позицией) и прогноза поступлений доходов областного бюджета от их реализации в общей сумме 96 108,7 тыс.руб., в том числе: на 2017 год - в сумме 33 792,7 тыс.руб., на 2018 год - 1 500,3 тыс.руб., на 2019 год - 60 815,7 тыс.руб.</w:t>
      </w:r>
    </w:p>
    <w:p w:rsidR="00220B3F" w:rsidRDefault="00220B3F" w:rsidP="00220B3F">
      <w:pPr>
        <w:ind w:firstLine="709"/>
        <w:rPr>
          <w:sz w:val="24"/>
          <w:szCs w:val="24"/>
        </w:rPr>
      </w:pPr>
    </w:p>
    <w:p w:rsidR="00220B3F" w:rsidRPr="00573218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  <w:r w:rsidRPr="00573218">
        <w:rPr>
          <w:b/>
          <w:sz w:val="24"/>
          <w:szCs w:val="24"/>
          <w:lang w:eastAsia="ru-RU"/>
        </w:rPr>
        <w:t>5.8. Проценты, полученные от предоставления бюджетных кредитов</w:t>
      </w:r>
    </w:p>
    <w:p w:rsidR="00220B3F" w:rsidRPr="00573218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</w:p>
    <w:p w:rsidR="00220B3F" w:rsidRPr="00627019" w:rsidRDefault="00220B3F" w:rsidP="00220B3F">
      <w:pPr>
        <w:ind w:firstLine="709"/>
        <w:rPr>
          <w:sz w:val="24"/>
          <w:szCs w:val="24"/>
        </w:rPr>
      </w:pPr>
      <w:r w:rsidRPr="00627019">
        <w:rPr>
          <w:sz w:val="24"/>
          <w:szCs w:val="24"/>
        </w:rPr>
        <w:t>Законопроектом предусмотрено, что бюджетные кредиты из областного бюджета в 2017-2019 годах будут предоставляться только местным бюджетам в пределах общего объема бюджетных ассигнований, предусмотренных по источникам финансирования дефицита областного бюджета, в сумме до 300 000 тыс. рублей на срок до трех лет в целях частичного покрытия дефицитов местных бюджетов, покрытия временных кассовых разрывов, возникающих при исполнении местных бюджетов, погашения муниципальных долговых обязательств, а также осуществления мероприятий, связанных с предупреждением и ликвидацией последствий стихийных бедствий и техногенных аварий.</w:t>
      </w:r>
    </w:p>
    <w:p w:rsidR="00220B3F" w:rsidRPr="00627019" w:rsidRDefault="00220B3F" w:rsidP="00220B3F">
      <w:pPr>
        <w:ind w:firstLine="709"/>
        <w:rPr>
          <w:sz w:val="24"/>
          <w:szCs w:val="24"/>
        </w:rPr>
      </w:pPr>
      <w:r w:rsidRPr="00627019">
        <w:rPr>
          <w:sz w:val="24"/>
          <w:szCs w:val="24"/>
        </w:rPr>
        <w:t>При этом плата за пользование бюджетным кредитом на покрытие временных кассовых разрывов, возникающих при исполнении местных бюджетов, на частичное покрытие дефицита местного бюджета и погашения муниципальных долговых обязательств, устанавливается в размере ключевой ставки Центрального банка РФ, действующей на день заключения договора о предоставлении бюджетного кредита, а при осуществлении мероприятий, связанных с ликвидацией последствий стихийных бедствий</w:t>
      </w:r>
      <w:r w:rsidR="004F7ADF">
        <w:rPr>
          <w:sz w:val="24"/>
          <w:szCs w:val="24"/>
        </w:rPr>
        <w:t xml:space="preserve">, - </w:t>
      </w:r>
      <w:r w:rsidRPr="00627019">
        <w:rPr>
          <w:sz w:val="24"/>
          <w:szCs w:val="24"/>
        </w:rPr>
        <w:t xml:space="preserve">по ставке 0,01 процента годовых от суммы бюджетного кредита. </w:t>
      </w:r>
    </w:p>
    <w:p w:rsidR="00220B3F" w:rsidRPr="00627019" w:rsidRDefault="00220B3F" w:rsidP="00220B3F">
      <w:pPr>
        <w:ind w:firstLine="708"/>
        <w:rPr>
          <w:sz w:val="24"/>
          <w:szCs w:val="24"/>
        </w:rPr>
      </w:pPr>
      <w:r w:rsidRPr="00627019">
        <w:rPr>
          <w:sz w:val="24"/>
          <w:szCs w:val="24"/>
        </w:rPr>
        <w:t>Проектом закона прогнозируются доходы областного бюджета от уплаты процентов, полученных от предоставления бюджетных кредитов, в 2017 году в сумме 6,2 млн.руб., в 2018 году -  2,8 млн.руб., в 2019 году -  0,3 млн.руб., в том числе в разрезе источников:</w:t>
      </w:r>
    </w:p>
    <w:p w:rsidR="00220B3F" w:rsidRPr="00627019" w:rsidRDefault="00220B3F" w:rsidP="00220B3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4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1681"/>
        <w:gridCol w:w="1681"/>
        <w:gridCol w:w="1681"/>
      </w:tblGrid>
      <w:tr w:rsidR="00220B3F" w:rsidRPr="00627019" w:rsidTr="00220B3F">
        <w:trPr>
          <w:trHeight w:val="277"/>
        </w:trPr>
        <w:tc>
          <w:tcPr>
            <w:tcW w:w="4108" w:type="dxa"/>
          </w:tcPr>
          <w:p w:rsidR="00220B3F" w:rsidRPr="00627019" w:rsidRDefault="00220B3F" w:rsidP="00220B3F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b/>
                <w:sz w:val="24"/>
                <w:szCs w:val="24"/>
              </w:rPr>
            </w:pPr>
            <w:r w:rsidRPr="0062701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b/>
                <w:sz w:val="24"/>
                <w:szCs w:val="24"/>
              </w:rPr>
            </w:pPr>
            <w:r w:rsidRPr="0062701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b/>
                <w:sz w:val="24"/>
                <w:szCs w:val="24"/>
              </w:rPr>
            </w:pPr>
            <w:r w:rsidRPr="00627019">
              <w:rPr>
                <w:b/>
                <w:sz w:val="24"/>
                <w:szCs w:val="24"/>
              </w:rPr>
              <w:t>2019</w:t>
            </w:r>
          </w:p>
        </w:tc>
      </w:tr>
      <w:tr w:rsidR="00220B3F" w:rsidRPr="00627019" w:rsidTr="00220B3F">
        <w:trPr>
          <w:trHeight w:val="277"/>
        </w:trPr>
        <w:tc>
          <w:tcPr>
            <w:tcW w:w="4108" w:type="dxa"/>
          </w:tcPr>
          <w:p w:rsidR="00220B3F" w:rsidRPr="00627019" w:rsidRDefault="00220B3F" w:rsidP="00220B3F">
            <w:pPr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Кредиты, ранее предоставленные юридическим лицам</w:t>
            </w:r>
            <w:r>
              <w:rPr>
                <w:sz w:val="24"/>
                <w:szCs w:val="24"/>
              </w:rPr>
              <w:t>,</w:t>
            </w:r>
            <w:r w:rsidRPr="00884114">
              <w:rPr>
                <w:sz w:val="24"/>
                <w:szCs w:val="24"/>
              </w:rPr>
              <w:t xml:space="preserve"> млн.руб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0,1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0,01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0,01</w:t>
            </w:r>
          </w:p>
        </w:tc>
      </w:tr>
      <w:tr w:rsidR="00220B3F" w:rsidRPr="00627019" w:rsidTr="00220B3F">
        <w:trPr>
          <w:trHeight w:val="554"/>
        </w:trPr>
        <w:tc>
          <w:tcPr>
            <w:tcW w:w="4108" w:type="dxa"/>
          </w:tcPr>
          <w:p w:rsidR="00220B3F" w:rsidRPr="00627019" w:rsidRDefault="00220B3F" w:rsidP="00220B3F">
            <w:pPr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Кредиты, ранее предоставленные муниципальным образованиям</w:t>
            </w:r>
            <w:r>
              <w:rPr>
                <w:sz w:val="24"/>
                <w:szCs w:val="24"/>
              </w:rPr>
              <w:t>,</w:t>
            </w:r>
            <w:r w:rsidRPr="00884114">
              <w:rPr>
                <w:sz w:val="24"/>
                <w:szCs w:val="24"/>
              </w:rPr>
              <w:t xml:space="preserve"> млн.руб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6,1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2,7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sz w:val="24"/>
                <w:szCs w:val="24"/>
              </w:rPr>
            </w:pPr>
            <w:r w:rsidRPr="00627019">
              <w:rPr>
                <w:sz w:val="24"/>
                <w:szCs w:val="24"/>
              </w:rPr>
              <w:t>0,3</w:t>
            </w:r>
          </w:p>
        </w:tc>
      </w:tr>
      <w:tr w:rsidR="00220B3F" w:rsidRPr="00627019" w:rsidTr="00220B3F">
        <w:trPr>
          <w:trHeight w:val="292"/>
        </w:trPr>
        <w:tc>
          <w:tcPr>
            <w:tcW w:w="4108" w:type="dxa"/>
          </w:tcPr>
          <w:p w:rsidR="00220B3F" w:rsidRPr="00627019" w:rsidRDefault="00220B3F" w:rsidP="00220B3F">
            <w:pPr>
              <w:jc w:val="center"/>
              <w:rPr>
                <w:b/>
                <w:sz w:val="24"/>
                <w:szCs w:val="24"/>
              </w:rPr>
            </w:pPr>
            <w:r w:rsidRPr="0062701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b/>
                <w:sz w:val="24"/>
                <w:szCs w:val="24"/>
              </w:rPr>
            </w:pPr>
            <w:r w:rsidRPr="00627019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b/>
                <w:sz w:val="24"/>
                <w:szCs w:val="24"/>
              </w:rPr>
            </w:pPr>
            <w:r w:rsidRPr="00627019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681" w:type="dxa"/>
            <w:vAlign w:val="center"/>
          </w:tcPr>
          <w:p w:rsidR="00220B3F" w:rsidRPr="00627019" w:rsidRDefault="00220B3F" w:rsidP="00220B3F">
            <w:pPr>
              <w:jc w:val="center"/>
              <w:rPr>
                <w:b/>
                <w:sz w:val="24"/>
                <w:szCs w:val="24"/>
              </w:rPr>
            </w:pPr>
            <w:r w:rsidRPr="00627019">
              <w:rPr>
                <w:b/>
                <w:sz w:val="24"/>
                <w:szCs w:val="24"/>
              </w:rPr>
              <w:t>0,3</w:t>
            </w:r>
          </w:p>
        </w:tc>
      </w:tr>
    </w:tbl>
    <w:p w:rsidR="00220B3F" w:rsidRPr="00627019" w:rsidRDefault="00220B3F" w:rsidP="00220B3F">
      <w:pPr>
        <w:ind w:firstLine="708"/>
        <w:rPr>
          <w:sz w:val="24"/>
          <w:szCs w:val="24"/>
        </w:rPr>
      </w:pPr>
    </w:p>
    <w:p w:rsidR="00220B3F" w:rsidRPr="00627019" w:rsidRDefault="00220B3F" w:rsidP="00220B3F">
      <w:pPr>
        <w:ind w:firstLine="708"/>
        <w:rPr>
          <w:sz w:val="24"/>
          <w:szCs w:val="24"/>
        </w:rPr>
      </w:pPr>
      <w:r w:rsidRPr="00627019">
        <w:rPr>
          <w:sz w:val="24"/>
          <w:szCs w:val="24"/>
        </w:rPr>
        <w:t xml:space="preserve">Таким образом, в законопроекте не учтены доходы от уплаты процентов по вновь выдаваемым бюджетным кредитам в объеме, предусмотренном статьей 11 законопроекта.  Данная ситуация возможна только при условии, что Администрацией Томской области </w:t>
      </w:r>
      <w:r w:rsidRPr="00627019">
        <w:rPr>
          <w:b/>
          <w:sz w:val="24"/>
          <w:szCs w:val="24"/>
        </w:rPr>
        <w:t>не планируется в 2017-2019 годах выдача кредитов</w:t>
      </w:r>
      <w:r w:rsidRPr="00627019">
        <w:rPr>
          <w:sz w:val="24"/>
          <w:szCs w:val="24"/>
        </w:rPr>
        <w:t xml:space="preserve"> на покрытие временных кассовых разрывов, возникающих при исполнении  местных бюджетов, частичного покрытия дефицита местных бюджетов и погашения муниципальных долговых обязательств. </w:t>
      </w:r>
    </w:p>
    <w:p w:rsidR="00220B3F" w:rsidRPr="00627019" w:rsidRDefault="00220B3F" w:rsidP="00220B3F">
      <w:pPr>
        <w:ind w:firstLine="708"/>
        <w:rPr>
          <w:sz w:val="24"/>
          <w:szCs w:val="24"/>
        </w:rPr>
      </w:pPr>
      <w:r w:rsidRPr="00627019">
        <w:rPr>
          <w:sz w:val="24"/>
          <w:szCs w:val="24"/>
        </w:rPr>
        <w:t>По состоянию на 01.10.2016 доходы областного бюджета от уплаты процентов, полученных от предоставления бюджетных кредитов, составили 6,8 млн.руб. Ожидаемое исполнение областного бюджета в части указанного доходного источника, указанного в материалах к законопроекту составит в 2016 году 8,8 млн.руб.</w:t>
      </w:r>
    </w:p>
    <w:p w:rsidR="00220B3F" w:rsidRPr="00627019" w:rsidRDefault="00220B3F" w:rsidP="00220B3F">
      <w:pPr>
        <w:ind w:firstLine="708"/>
        <w:rPr>
          <w:sz w:val="24"/>
          <w:szCs w:val="24"/>
        </w:rPr>
      </w:pPr>
      <w:r w:rsidRPr="00627019">
        <w:rPr>
          <w:sz w:val="24"/>
          <w:szCs w:val="24"/>
        </w:rPr>
        <w:t>По мнению Контрольно-счетной палаты</w:t>
      </w:r>
      <w:r w:rsidR="004F7ADF">
        <w:rPr>
          <w:sz w:val="24"/>
          <w:szCs w:val="24"/>
        </w:rPr>
        <w:t xml:space="preserve">, </w:t>
      </w:r>
      <w:r w:rsidRPr="00627019">
        <w:rPr>
          <w:sz w:val="24"/>
          <w:szCs w:val="24"/>
        </w:rPr>
        <w:t xml:space="preserve"> доходы от уплаты процентов могут составить не менее ожидаемого исполнения по данному доходному источнику в 2016 году, т.е. 8,8 млн.руб.</w:t>
      </w:r>
      <w:r w:rsidR="004F7ADF">
        <w:rPr>
          <w:sz w:val="24"/>
          <w:szCs w:val="24"/>
        </w:rPr>
        <w:t xml:space="preserve">, </w:t>
      </w:r>
      <w:r w:rsidRPr="00627019">
        <w:rPr>
          <w:sz w:val="24"/>
          <w:szCs w:val="24"/>
        </w:rPr>
        <w:t xml:space="preserve"> или на </w:t>
      </w:r>
      <w:r w:rsidRPr="000E6F66">
        <w:rPr>
          <w:b/>
          <w:sz w:val="24"/>
          <w:szCs w:val="24"/>
        </w:rPr>
        <w:t xml:space="preserve">2,6 млн.руб. больше </w:t>
      </w:r>
      <w:r w:rsidRPr="00627019">
        <w:rPr>
          <w:sz w:val="24"/>
          <w:szCs w:val="24"/>
        </w:rPr>
        <w:t>чем, указано в законопроекте.</w:t>
      </w:r>
    </w:p>
    <w:p w:rsidR="00220B3F" w:rsidRPr="00627019" w:rsidRDefault="00220B3F" w:rsidP="00220B3F">
      <w:pPr>
        <w:ind w:firstLine="708"/>
        <w:rPr>
          <w:b/>
          <w:sz w:val="24"/>
          <w:szCs w:val="24"/>
        </w:rPr>
      </w:pPr>
      <w:r w:rsidRPr="00627019">
        <w:rPr>
          <w:sz w:val="24"/>
          <w:szCs w:val="24"/>
        </w:rPr>
        <w:t>С учетом изложенного, реалистичность объема поступлений по данному доходному источнику требует дополнительного рассмотрения</w:t>
      </w:r>
      <w:r w:rsidRPr="00627019">
        <w:rPr>
          <w:b/>
          <w:sz w:val="24"/>
          <w:szCs w:val="24"/>
        </w:rPr>
        <w:t>.</w:t>
      </w:r>
    </w:p>
    <w:p w:rsidR="00220B3F" w:rsidRPr="00070609" w:rsidRDefault="00220B3F" w:rsidP="00220B3F">
      <w:pPr>
        <w:ind w:firstLine="708"/>
        <w:rPr>
          <w:sz w:val="24"/>
          <w:szCs w:val="24"/>
        </w:rPr>
      </w:pPr>
    </w:p>
    <w:p w:rsidR="00220B3F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5.9. Платежи при</w:t>
      </w:r>
      <w:r w:rsidRPr="007A2F61">
        <w:rPr>
          <w:b/>
          <w:sz w:val="24"/>
          <w:szCs w:val="24"/>
          <w:lang w:eastAsia="ru-RU"/>
        </w:rPr>
        <w:t xml:space="preserve"> пользовани</w:t>
      </w:r>
      <w:r>
        <w:rPr>
          <w:b/>
          <w:sz w:val="24"/>
          <w:szCs w:val="24"/>
          <w:lang w:eastAsia="ru-RU"/>
        </w:rPr>
        <w:t>и</w:t>
      </w:r>
      <w:r w:rsidRPr="007A2F61">
        <w:rPr>
          <w:b/>
          <w:sz w:val="24"/>
          <w:szCs w:val="24"/>
          <w:lang w:eastAsia="ru-RU"/>
        </w:rPr>
        <w:t xml:space="preserve"> природными </w:t>
      </w:r>
      <w:r>
        <w:rPr>
          <w:b/>
          <w:sz w:val="24"/>
          <w:szCs w:val="24"/>
          <w:lang w:eastAsia="ru-RU"/>
        </w:rPr>
        <w:t>ресурсами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</w:p>
    <w:p w:rsidR="00220B3F" w:rsidRPr="001B3CA7" w:rsidRDefault="00220B3F" w:rsidP="00220B3F">
      <w:pPr>
        <w:ind w:firstLine="709"/>
        <w:rPr>
          <w:sz w:val="24"/>
          <w:szCs w:val="24"/>
        </w:rPr>
      </w:pPr>
      <w:r w:rsidRPr="001B3CA7">
        <w:rPr>
          <w:sz w:val="24"/>
          <w:szCs w:val="24"/>
        </w:rPr>
        <w:t xml:space="preserve">Ожидаемое исполнение областного бюджета по платежам при пользовании природными ресурсами в 2016 году по оценке Администрации может составить 355,7 млн.руб., темп роста к уровню  2015 года – 78,1 %. </w:t>
      </w:r>
    </w:p>
    <w:p w:rsidR="00220B3F" w:rsidRPr="001B3CA7" w:rsidRDefault="00220B3F" w:rsidP="00220B3F">
      <w:pPr>
        <w:ind w:firstLine="709"/>
        <w:rPr>
          <w:sz w:val="24"/>
          <w:szCs w:val="24"/>
        </w:rPr>
      </w:pPr>
      <w:r w:rsidRPr="001B3CA7">
        <w:rPr>
          <w:sz w:val="24"/>
          <w:szCs w:val="24"/>
        </w:rPr>
        <w:t>Поступление платежей при пользовании природными ресурсами в областной бюджет в материалах и документах к законопроекту прогнозируется в следующих объемах:</w:t>
      </w:r>
    </w:p>
    <w:p w:rsidR="00220B3F" w:rsidRPr="001B3CA7" w:rsidRDefault="00220B3F" w:rsidP="00220B3F">
      <w:pPr>
        <w:pStyle w:val="a5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1B3CA7">
        <w:rPr>
          <w:sz w:val="24"/>
          <w:szCs w:val="24"/>
        </w:rPr>
        <w:t>374,2 млн.руб. в 2017 году, с темпом роста 105,2 %;</w:t>
      </w:r>
    </w:p>
    <w:p w:rsidR="00220B3F" w:rsidRPr="001B3CA7" w:rsidRDefault="00220B3F" w:rsidP="00220B3F">
      <w:pPr>
        <w:pStyle w:val="a5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1B3CA7">
        <w:rPr>
          <w:sz w:val="24"/>
          <w:szCs w:val="24"/>
        </w:rPr>
        <w:t>378,6 млн.руб. в 2018 году, с темпом роста 101,2 %;</w:t>
      </w:r>
    </w:p>
    <w:p w:rsidR="00220B3F" w:rsidRPr="001B3CA7" w:rsidRDefault="00220B3F" w:rsidP="00220B3F">
      <w:pPr>
        <w:pStyle w:val="a5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1B3CA7">
        <w:rPr>
          <w:sz w:val="24"/>
          <w:szCs w:val="24"/>
        </w:rPr>
        <w:t>378,7 млн.руб. в 2019 году, с темпом роста 100 %.</w:t>
      </w:r>
    </w:p>
    <w:p w:rsidR="00220B3F" w:rsidRPr="001B3CA7" w:rsidRDefault="00220B3F" w:rsidP="00220B3F">
      <w:pPr>
        <w:pStyle w:val="a5"/>
        <w:ind w:left="0" w:firstLine="709"/>
        <w:rPr>
          <w:sz w:val="24"/>
          <w:szCs w:val="24"/>
        </w:rPr>
      </w:pPr>
      <w:r w:rsidRPr="001B3CA7">
        <w:rPr>
          <w:sz w:val="24"/>
          <w:szCs w:val="24"/>
        </w:rPr>
        <w:t>Прогноз доходов по платежам при пользовании природными ресурсами на 2017 - 2019 гг. в материалах к законопроекту сформирован в разрезе всех источников поступлений и основан на прогнозных данных администраторов соответствующих видом поступлений.</w:t>
      </w:r>
    </w:p>
    <w:p w:rsidR="00220B3F" w:rsidRPr="001B3CA7" w:rsidRDefault="00220B3F" w:rsidP="00220B3F">
      <w:pPr>
        <w:pStyle w:val="a5"/>
        <w:ind w:left="0" w:firstLine="709"/>
        <w:rPr>
          <w:sz w:val="24"/>
          <w:szCs w:val="24"/>
        </w:rPr>
      </w:pPr>
      <w:r w:rsidRPr="001B3CA7">
        <w:rPr>
          <w:sz w:val="24"/>
          <w:szCs w:val="24"/>
        </w:rPr>
        <w:t>С учетом объемов фактических поступлений в 2016 году, темпов роста за предыдущие периоды и установленного порядка осуществления платежей палатой произведен расчет прогнозных объемов поступлений на 2017–2019 гг.</w:t>
      </w:r>
    </w:p>
    <w:p w:rsidR="00220B3F" w:rsidRPr="001B3CA7" w:rsidRDefault="00220B3F" w:rsidP="00220B3F">
      <w:pPr>
        <w:pStyle w:val="a5"/>
        <w:ind w:left="0" w:firstLine="709"/>
        <w:rPr>
          <w:sz w:val="24"/>
          <w:szCs w:val="24"/>
        </w:rPr>
      </w:pPr>
      <w:r w:rsidRPr="001B3CA7">
        <w:rPr>
          <w:sz w:val="24"/>
          <w:szCs w:val="24"/>
        </w:rPr>
        <w:t>Так</w:t>
      </w:r>
      <w:r w:rsidR="004F7ADF">
        <w:rPr>
          <w:sz w:val="24"/>
          <w:szCs w:val="24"/>
        </w:rPr>
        <w:t xml:space="preserve">, </w:t>
      </w:r>
      <w:r w:rsidRPr="001B3CA7">
        <w:rPr>
          <w:sz w:val="24"/>
          <w:szCs w:val="24"/>
        </w:rPr>
        <w:t xml:space="preserve"> по платежам за негативное воздействие на окружающую среду прогноз поступлений в областной бюджет на 2017 год составил 195,1 млн.руб. (+3,8 млн.руб. к прогнозу Администрации), на 2018 и 2019 годы – 197,1 млн.руб. (+3,9 млн.руб.) и 199,2 млн.руб. (+5,9 млн.руб.) соответственно.</w:t>
      </w:r>
    </w:p>
    <w:p w:rsidR="00220B3F" w:rsidRPr="001B3CA7" w:rsidRDefault="00220B3F" w:rsidP="00220B3F">
      <w:pPr>
        <w:pStyle w:val="a5"/>
        <w:ind w:left="0" w:firstLine="709"/>
        <w:rPr>
          <w:sz w:val="24"/>
          <w:szCs w:val="24"/>
        </w:rPr>
      </w:pPr>
      <w:r w:rsidRPr="001B3CA7">
        <w:rPr>
          <w:sz w:val="24"/>
          <w:szCs w:val="24"/>
        </w:rPr>
        <w:t>Прогнозируемый объем по плате за использование лесов по расчетам палаты на 2017 год составил 152,7 млн.руб. (+2,6 к прогнозу Администрации), на 2018 и 2019 годы – 154,7 млн.руб. (+2,6 млн.руб.) и 156,8 млн.руб. (+4,6 млн.руб.) соответственно.</w:t>
      </w:r>
    </w:p>
    <w:p w:rsidR="00220B3F" w:rsidRPr="001B3CA7" w:rsidRDefault="00220B3F" w:rsidP="00220B3F">
      <w:pPr>
        <w:pStyle w:val="a5"/>
        <w:ind w:left="0" w:firstLine="709"/>
        <w:rPr>
          <w:sz w:val="24"/>
          <w:szCs w:val="24"/>
        </w:rPr>
      </w:pPr>
      <w:r w:rsidRPr="001B3CA7">
        <w:rPr>
          <w:sz w:val="24"/>
          <w:szCs w:val="24"/>
        </w:rPr>
        <w:t>По платежам при использовании недр прогнозируемые объемы поступлений не отличаются существенно с данными, отраженными в Пояснительной записке.</w:t>
      </w:r>
    </w:p>
    <w:p w:rsidR="00220B3F" w:rsidRPr="001B3CA7" w:rsidRDefault="00220B3F" w:rsidP="00220B3F">
      <w:pPr>
        <w:rPr>
          <w:sz w:val="24"/>
          <w:szCs w:val="24"/>
        </w:rPr>
      </w:pPr>
      <w:r w:rsidRPr="001B3CA7">
        <w:rPr>
          <w:sz w:val="24"/>
          <w:szCs w:val="24"/>
        </w:rPr>
        <w:tab/>
        <w:t>Таким образом</w:t>
      </w:r>
      <w:r w:rsidR="004F7ADF">
        <w:rPr>
          <w:sz w:val="24"/>
          <w:szCs w:val="24"/>
        </w:rPr>
        <w:t xml:space="preserve">, </w:t>
      </w:r>
      <w:r w:rsidRPr="001B3CA7">
        <w:rPr>
          <w:sz w:val="24"/>
          <w:szCs w:val="24"/>
        </w:rPr>
        <w:t xml:space="preserve"> общая сумма прогнозируемых палатой объемов поступлений по платежам при пользован</w:t>
      </w:r>
      <w:r w:rsidR="004F7ADF">
        <w:rPr>
          <w:sz w:val="24"/>
          <w:szCs w:val="24"/>
        </w:rPr>
        <w:t>ии природными ресурсами на 2017–</w:t>
      </w:r>
      <w:r w:rsidRPr="001B3CA7">
        <w:rPr>
          <w:sz w:val="24"/>
          <w:szCs w:val="24"/>
        </w:rPr>
        <w:t xml:space="preserve">2019 годы составляет 380,6 млн.руб. </w:t>
      </w:r>
      <w:r w:rsidRPr="00A9467B">
        <w:rPr>
          <w:b/>
          <w:sz w:val="24"/>
          <w:szCs w:val="24"/>
        </w:rPr>
        <w:t>(+6,4 млн.руб.</w:t>
      </w:r>
      <w:r w:rsidRPr="001B3CA7">
        <w:rPr>
          <w:sz w:val="24"/>
          <w:szCs w:val="24"/>
        </w:rPr>
        <w:t>), 385,1 млн.руб. (+6,5 млн.руб.) и 389,3 млн.руб. (+10,6 млн.руб.).</w:t>
      </w:r>
    </w:p>
    <w:p w:rsidR="00220B3F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</w:p>
    <w:p w:rsidR="00220B3F" w:rsidRPr="004B7260" w:rsidRDefault="00220B3F" w:rsidP="00220B3F">
      <w:pPr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5.10</w:t>
      </w:r>
      <w:r w:rsidR="005C60BD">
        <w:rPr>
          <w:b/>
          <w:sz w:val="24"/>
          <w:szCs w:val="24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</w:t>
      </w:r>
      <w:r w:rsidRPr="004B7260">
        <w:rPr>
          <w:b/>
          <w:sz w:val="24"/>
          <w:szCs w:val="24"/>
        </w:rPr>
        <w:t>Доходы от оказания платных услуг (работ) и компенсации затрат государства</w:t>
      </w:r>
    </w:p>
    <w:p w:rsidR="00220B3F" w:rsidRDefault="00220B3F" w:rsidP="00220B3F">
      <w:pPr>
        <w:rPr>
          <w:sz w:val="24"/>
          <w:szCs w:val="24"/>
        </w:rPr>
      </w:pPr>
    </w:p>
    <w:p w:rsidR="00220B3F" w:rsidRPr="00976C70" w:rsidRDefault="00220B3F" w:rsidP="00220B3F">
      <w:pPr>
        <w:rPr>
          <w:sz w:val="24"/>
          <w:szCs w:val="24"/>
        </w:rPr>
      </w:pPr>
      <w:r w:rsidRPr="00976C70">
        <w:rPr>
          <w:sz w:val="24"/>
          <w:szCs w:val="24"/>
        </w:rPr>
        <w:t xml:space="preserve">Ожидаемое исполнение </w:t>
      </w:r>
      <w:r w:rsidRPr="004B7260">
        <w:rPr>
          <w:sz w:val="24"/>
          <w:szCs w:val="24"/>
        </w:rPr>
        <w:t xml:space="preserve">областного бюджета по </w:t>
      </w:r>
      <w:r>
        <w:rPr>
          <w:sz w:val="24"/>
          <w:szCs w:val="24"/>
        </w:rPr>
        <w:t>д</w:t>
      </w:r>
      <w:r w:rsidRPr="004B7260">
        <w:rPr>
          <w:sz w:val="24"/>
          <w:szCs w:val="24"/>
        </w:rPr>
        <w:t>оход</w:t>
      </w:r>
      <w:r>
        <w:rPr>
          <w:sz w:val="24"/>
          <w:szCs w:val="24"/>
        </w:rPr>
        <w:t>ам</w:t>
      </w:r>
      <w:r w:rsidRPr="004B7260">
        <w:rPr>
          <w:sz w:val="24"/>
          <w:szCs w:val="24"/>
        </w:rPr>
        <w:t xml:space="preserve"> от оказания платных услуг (работ) и компенсации затрат государства</w:t>
      </w:r>
      <w:r>
        <w:rPr>
          <w:sz w:val="24"/>
          <w:szCs w:val="24"/>
        </w:rPr>
        <w:t xml:space="preserve"> в 2016 году </w:t>
      </w:r>
      <w:r w:rsidRPr="00976C70">
        <w:rPr>
          <w:sz w:val="24"/>
          <w:szCs w:val="24"/>
        </w:rPr>
        <w:t xml:space="preserve">по оценке Администрации может составить </w:t>
      </w:r>
      <w:r>
        <w:rPr>
          <w:sz w:val="24"/>
          <w:szCs w:val="24"/>
        </w:rPr>
        <w:t>57,7</w:t>
      </w:r>
      <w:r w:rsidRPr="00976C70">
        <w:rPr>
          <w:sz w:val="24"/>
          <w:szCs w:val="24"/>
        </w:rPr>
        <w:t xml:space="preserve"> млн.руб., темп роста к уровню  201</w:t>
      </w:r>
      <w:r>
        <w:rPr>
          <w:sz w:val="24"/>
          <w:szCs w:val="24"/>
        </w:rPr>
        <w:t>5</w:t>
      </w:r>
      <w:r w:rsidRPr="00976C70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 xml:space="preserve">124,5 </w:t>
      </w:r>
      <w:r w:rsidRPr="00976C70">
        <w:rPr>
          <w:sz w:val="24"/>
          <w:szCs w:val="24"/>
        </w:rPr>
        <w:t xml:space="preserve">%. </w:t>
      </w:r>
    </w:p>
    <w:p w:rsidR="00220B3F" w:rsidRPr="00976C70" w:rsidRDefault="00220B3F" w:rsidP="00220B3F">
      <w:pPr>
        <w:ind w:firstLine="709"/>
        <w:rPr>
          <w:sz w:val="24"/>
          <w:szCs w:val="24"/>
        </w:rPr>
      </w:pPr>
      <w:r w:rsidRPr="00976C70">
        <w:rPr>
          <w:sz w:val="24"/>
          <w:szCs w:val="24"/>
        </w:rPr>
        <w:t xml:space="preserve">Поступление </w:t>
      </w:r>
      <w:r w:rsidRPr="004B7260">
        <w:rPr>
          <w:sz w:val="24"/>
          <w:szCs w:val="24"/>
        </w:rPr>
        <w:t xml:space="preserve">по </w:t>
      </w:r>
      <w:r>
        <w:rPr>
          <w:sz w:val="24"/>
          <w:szCs w:val="24"/>
        </w:rPr>
        <w:t>д</w:t>
      </w:r>
      <w:r w:rsidRPr="004B7260">
        <w:rPr>
          <w:sz w:val="24"/>
          <w:szCs w:val="24"/>
        </w:rPr>
        <w:t>оход</w:t>
      </w:r>
      <w:r>
        <w:rPr>
          <w:sz w:val="24"/>
          <w:szCs w:val="24"/>
        </w:rPr>
        <w:t>ам</w:t>
      </w:r>
      <w:r w:rsidRPr="004B7260">
        <w:rPr>
          <w:sz w:val="24"/>
          <w:szCs w:val="24"/>
        </w:rPr>
        <w:t xml:space="preserve"> от оказания платных услуг (работ) и компенсации затрат государства</w:t>
      </w:r>
      <w:r w:rsidRPr="00976C70">
        <w:rPr>
          <w:sz w:val="24"/>
          <w:szCs w:val="24"/>
        </w:rPr>
        <w:t xml:space="preserve"> в областной бюджет в материалах и документах к законопроекту прогнозируется в следующих объемах:</w:t>
      </w:r>
    </w:p>
    <w:p w:rsidR="00220B3F" w:rsidRPr="00976C70" w:rsidRDefault="00220B3F" w:rsidP="00220B3F">
      <w:pPr>
        <w:pStyle w:val="a5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61,1</w:t>
      </w:r>
      <w:r w:rsidRPr="00976C70">
        <w:rPr>
          <w:sz w:val="24"/>
          <w:szCs w:val="24"/>
        </w:rPr>
        <w:t xml:space="preserve"> млн.руб. в 201</w:t>
      </w:r>
      <w:r>
        <w:rPr>
          <w:sz w:val="24"/>
          <w:szCs w:val="24"/>
        </w:rPr>
        <w:t>7</w:t>
      </w:r>
      <w:r w:rsidRPr="00976C70">
        <w:rPr>
          <w:sz w:val="24"/>
          <w:szCs w:val="24"/>
        </w:rPr>
        <w:t xml:space="preserve"> году, с темпом роста </w:t>
      </w:r>
      <w:r>
        <w:rPr>
          <w:sz w:val="24"/>
          <w:szCs w:val="24"/>
        </w:rPr>
        <w:t xml:space="preserve">105,8 </w:t>
      </w:r>
      <w:r w:rsidRPr="00976C70">
        <w:rPr>
          <w:sz w:val="24"/>
          <w:szCs w:val="24"/>
        </w:rPr>
        <w:t>%;</w:t>
      </w:r>
    </w:p>
    <w:p w:rsidR="00220B3F" w:rsidRPr="00976C70" w:rsidRDefault="00220B3F" w:rsidP="00220B3F">
      <w:pPr>
        <w:pStyle w:val="a5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63,8</w:t>
      </w:r>
      <w:r w:rsidRPr="00976C70">
        <w:rPr>
          <w:sz w:val="24"/>
          <w:szCs w:val="24"/>
        </w:rPr>
        <w:t xml:space="preserve"> млн.руб. в 201</w:t>
      </w:r>
      <w:r>
        <w:rPr>
          <w:sz w:val="24"/>
          <w:szCs w:val="24"/>
        </w:rPr>
        <w:t>8</w:t>
      </w:r>
      <w:r w:rsidRPr="00976C70">
        <w:rPr>
          <w:sz w:val="24"/>
          <w:szCs w:val="24"/>
        </w:rPr>
        <w:t xml:space="preserve"> году, с темпом роста </w:t>
      </w:r>
      <w:r>
        <w:rPr>
          <w:sz w:val="24"/>
          <w:szCs w:val="24"/>
        </w:rPr>
        <w:t xml:space="preserve">104,5 </w:t>
      </w:r>
      <w:r w:rsidRPr="00976C70">
        <w:rPr>
          <w:sz w:val="24"/>
          <w:szCs w:val="24"/>
        </w:rPr>
        <w:t>%;</w:t>
      </w:r>
    </w:p>
    <w:p w:rsidR="00220B3F" w:rsidRPr="00976C70" w:rsidRDefault="00220B3F" w:rsidP="00220B3F">
      <w:pPr>
        <w:pStyle w:val="a5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66,7</w:t>
      </w:r>
      <w:r w:rsidRPr="00976C70">
        <w:rPr>
          <w:sz w:val="24"/>
          <w:szCs w:val="24"/>
        </w:rPr>
        <w:t xml:space="preserve"> млн.руб. в</w:t>
      </w:r>
      <w:r>
        <w:rPr>
          <w:sz w:val="24"/>
          <w:szCs w:val="24"/>
        </w:rPr>
        <w:t xml:space="preserve"> 2018 году, с темпом роста 104,6 </w:t>
      </w:r>
      <w:r w:rsidRPr="00976C70">
        <w:rPr>
          <w:sz w:val="24"/>
          <w:szCs w:val="24"/>
        </w:rPr>
        <w:t>%.</w:t>
      </w:r>
    </w:p>
    <w:p w:rsidR="00220B3F" w:rsidRDefault="00220B3F" w:rsidP="00220B3F">
      <w:pPr>
        <w:pStyle w:val="a5"/>
        <w:ind w:left="0" w:firstLine="709"/>
        <w:rPr>
          <w:sz w:val="24"/>
          <w:szCs w:val="24"/>
        </w:rPr>
      </w:pPr>
      <w:r w:rsidRPr="00976C70">
        <w:rPr>
          <w:sz w:val="24"/>
          <w:szCs w:val="24"/>
        </w:rPr>
        <w:t>Учитывая фактическое исполнение по данному источнику за 9 месяцев 201</w:t>
      </w:r>
      <w:r>
        <w:rPr>
          <w:sz w:val="24"/>
          <w:szCs w:val="24"/>
        </w:rPr>
        <w:t>6</w:t>
      </w:r>
      <w:r w:rsidRPr="00976C70">
        <w:rPr>
          <w:sz w:val="24"/>
          <w:szCs w:val="24"/>
        </w:rPr>
        <w:t xml:space="preserve"> года, </w:t>
      </w:r>
      <w:r>
        <w:rPr>
          <w:sz w:val="24"/>
          <w:szCs w:val="24"/>
        </w:rPr>
        <w:t>оценку исполнения по данным палаты по итогам т.г. (до 63 млн.руб.), прогнозируемый Администрацией темп роста поступлений,</w:t>
      </w:r>
      <w:r w:rsidRPr="00976C70">
        <w:rPr>
          <w:sz w:val="24"/>
          <w:szCs w:val="24"/>
        </w:rPr>
        <w:t xml:space="preserve"> Контрольно-счетной палатой произведен расчет</w:t>
      </w:r>
      <w:r>
        <w:rPr>
          <w:sz w:val="24"/>
          <w:szCs w:val="24"/>
        </w:rPr>
        <w:t xml:space="preserve"> объемов поступлений</w:t>
      </w:r>
      <w:r w:rsidRPr="00976C70">
        <w:rPr>
          <w:sz w:val="24"/>
          <w:szCs w:val="24"/>
        </w:rPr>
        <w:t>.</w:t>
      </w:r>
    </w:p>
    <w:p w:rsidR="00220B3F" w:rsidRPr="008A038B" w:rsidRDefault="00220B3F" w:rsidP="00220B3F">
      <w:pPr>
        <w:ind w:firstLine="709"/>
        <w:rPr>
          <w:sz w:val="24"/>
          <w:szCs w:val="24"/>
        </w:rPr>
      </w:pPr>
      <w:r w:rsidRPr="00976C70">
        <w:rPr>
          <w:sz w:val="24"/>
          <w:szCs w:val="24"/>
        </w:rPr>
        <w:t xml:space="preserve">Ожидаемое поступление </w:t>
      </w:r>
      <w:r w:rsidRPr="004B7260">
        <w:rPr>
          <w:sz w:val="24"/>
          <w:szCs w:val="24"/>
        </w:rPr>
        <w:t xml:space="preserve">по </w:t>
      </w:r>
      <w:r>
        <w:rPr>
          <w:sz w:val="24"/>
          <w:szCs w:val="24"/>
        </w:rPr>
        <w:t>д</w:t>
      </w:r>
      <w:r w:rsidRPr="004B7260">
        <w:rPr>
          <w:sz w:val="24"/>
          <w:szCs w:val="24"/>
        </w:rPr>
        <w:t>оход</w:t>
      </w:r>
      <w:r>
        <w:rPr>
          <w:sz w:val="24"/>
          <w:szCs w:val="24"/>
        </w:rPr>
        <w:t>ам</w:t>
      </w:r>
      <w:r w:rsidRPr="004B7260">
        <w:rPr>
          <w:sz w:val="24"/>
          <w:szCs w:val="24"/>
        </w:rPr>
        <w:t xml:space="preserve"> от оказания платных услуг (работ) и компенсации затрат государства</w:t>
      </w:r>
      <w:r w:rsidRPr="00976C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976C70">
        <w:rPr>
          <w:sz w:val="24"/>
          <w:szCs w:val="24"/>
        </w:rPr>
        <w:t>областно</w:t>
      </w:r>
      <w:r>
        <w:rPr>
          <w:sz w:val="24"/>
          <w:szCs w:val="24"/>
        </w:rPr>
        <w:t>м</w:t>
      </w:r>
      <w:r w:rsidRPr="00976C70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е</w:t>
      </w:r>
      <w:r w:rsidRPr="00976C70">
        <w:rPr>
          <w:sz w:val="24"/>
          <w:szCs w:val="24"/>
        </w:rPr>
        <w:t xml:space="preserve"> в 201</w:t>
      </w:r>
      <w:r>
        <w:rPr>
          <w:sz w:val="24"/>
          <w:szCs w:val="24"/>
        </w:rPr>
        <w:t>7</w:t>
      </w:r>
      <w:r w:rsidRPr="00976C70">
        <w:rPr>
          <w:sz w:val="24"/>
          <w:szCs w:val="24"/>
        </w:rPr>
        <w:t xml:space="preserve"> году </w:t>
      </w:r>
      <w:r w:rsidRPr="00C22F05">
        <w:rPr>
          <w:b/>
          <w:sz w:val="24"/>
          <w:szCs w:val="24"/>
        </w:rPr>
        <w:t>оценивается в размере 66,7 млн.руб., что на 5,6 млн.руб. больше</w:t>
      </w:r>
      <w:r w:rsidRPr="008A038B">
        <w:rPr>
          <w:sz w:val="24"/>
          <w:szCs w:val="24"/>
        </w:rPr>
        <w:t xml:space="preserve"> прогнозируемого Администрацией. </w:t>
      </w:r>
    </w:p>
    <w:p w:rsidR="00220B3F" w:rsidRPr="00976C70" w:rsidRDefault="00220B3F" w:rsidP="00220B3F">
      <w:pPr>
        <w:ind w:firstLine="709"/>
        <w:rPr>
          <w:sz w:val="24"/>
          <w:szCs w:val="24"/>
        </w:rPr>
      </w:pPr>
      <w:r w:rsidRPr="00976C70">
        <w:rPr>
          <w:sz w:val="24"/>
          <w:szCs w:val="24"/>
        </w:rPr>
        <w:t>Прогнозное поступление платежей в областной бюджет в 201</w:t>
      </w:r>
      <w:r>
        <w:rPr>
          <w:sz w:val="24"/>
          <w:szCs w:val="24"/>
        </w:rPr>
        <w:t>8</w:t>
      </w:r>
      <w:r w:rsidRPr="00976C70">
        <w:rPr>
          <w:sz w:val="24"/>
          <w:szCs w:val="24"/>
        </w:rPr>
        <w:t xml:space="preserve"> году может составить </w:t>
      </w:r>
      <w:r>
        <w:rPr>
          <w:sz w:val="24"/>
          <w:szCs w:val="24"/>
        </w:rPr>
        <w:t>до 69,7</w:t>
      </w:r>
      <w:r w:rsidRPr="00976C70">
        <w:rPr>
          <w:sz w:val="24"/>
          <w:szCs w:val="24"/>
        </w:rPr>
        <w:t xml:space="preserve"> млн.руб. (+</w:t>
      </w:r>
      <w:r>
        <w:rPr>
          <w:sz w:val="24"/>
          <w:szCs w:val="24"/>
        </w:rPr>
        <w:t xml:space="preserve"> 5,9</w:t>
      </w:r>
      <w:r w:rsidRPr="00976C70">
        <w:rPr>
          <w:sz w:val="24"/>
          <w:szCs w:val="24"/>
        </w:rPr>
        <w:t xml:space="preserve"> млн.руб.), в 201</w:t>
      </w:r>
      <w:r>
        <w:rPr>
          <w:sz w:val="24"/>
          <w:szCs w:val="24"/>
        </w:rPr>
        <w:t>9</w:t>
      </w:r>
      <w:r w:rsidRPr="00976C70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72,9</w:t>
      </w:r>
      <w:r w:rsidRPr="00976C70">
        <w:rPr>
          <w:sz w:val="24"/>
          <w:szCs w:val="24"/>
        </w:rPr>
        <w:t xml:space="preserve"> млн.руб. (+</w:t>
      </w:r>
      <w:r>
        <w:rPr>
          <w:sz w:val="24"/>
          <w:szCs w:val="24"/>
        </w:rPr>
        <w:t xml:space="preserve"> 6,1</w:t>
      </w:r>
      <w:r w:rsidRPr="00976C70">
        <w:rPr>
          <w:sz w:val="24"/>
          <w:szCs w:val="24"/>
        </w:rPr>
        <w:t xml:space="preserve"> млн.руб.). </w:t>
      </w:r>
    </w:p>
    <w:p w:rsidR="00220B3F" w:rsidRPr="007A2F61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  <w:lang w:eastAsia="ru-RU"/>
        </w:rPr>
      </w:pPr>
    </w:p>
    <w:p w:rsidR="00220B3F" w:rsidRDefault="00220B3F" w:rsidP="00220B3F">
      <w:pPr>
        <w:widowControl/>
        <w:autoSpaceDE/>
        <w:autoSpaceDN/>
        <w:adjustRightInd/>
        <w:spacing w:line="288" w:lineRule="auto"/>
        <w:ind w:firstLine="709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 Расходы областного бюджета</w:t>
      </w:r>
    </w:p>
    <w:p w:rsidR="00220B3F" w:rsidRPr="00731F77" w:rsidRDefault="00220B3F" w:rsidP="00220B3F">
      <w:pPr>
        <w:widowControl/>
        <w:autoSpaceDE/>
        <w:autoSpaceDN/>
        <w:adjustRightInd/>
        <w:spacing w:line="288" w:lineRule="auto"/>
        <w:ind w:firstLine="709"/>
        <w:jc w:val="left"/>
        <w:rPr>
          <w:b/>
          <w:sz w:val="24"/>
          <w:szCs w:val="24"/>
          <w:lang w:eastAsia="ru-RU"/>
        </w:rPr>
      </w:pPr>
    </w:p>
    <w:p w:rsidR="00220B3F" w:rsidRDefault="00220B3F" w:rsidP="00220B3F">
      <w:pPr>
        <w:widowControl/>
        <w:autoSpaceDE/>
        <w:autoSpaceDN/>
        <w:adjustRightInd/>
        <w:ind w:firstLine="709"/>
        <w:rPr>
          <w:b/>
          <w:sz w:val="24"/>
          <w:szCs w:val="24"/>
        </w:rPr>
      </w:pPr>
      <w:r w:rsidRPr="007A5BF1">
        <w:rPr>
          <w:b/>
          <w:sz w:val="24"/>
          <w:szCs w:val="24"/>
        </w:rPr>
        <w:t>6.1. Анализ паспортов, перечня и объемов финансирования государственных программ Томской области</w:t>
      </w:r>
    </w:p>
    <w:p w:rsidR="00220B3F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B3F" w:rsidRPr="00EF14D1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D1">
        <w:rPr>
          <w:rFonts w:ascii="Times New Roman" w:hAnsi="Times New Roman" w:cs="Times New Roman"/>
          <w:sz w:val="24"/>
          <w:szCs w:val="24"/>
        </w:rPr>
        <w:t xml:space="preserve">Анализ расходов областного бюджета на финансирование государственных программ Томской области (далее – ГП, госпрограмма, программа) </w:t>
      </w:r>
      <w:r>
        <w:rPr>
          <w:rFonts w:ascii="Times New Roman" w:hAnsi="Times New Roman" w:cs="Times New Roman"/>
          <w:sz w:val="24"/>
          <w:szCs w:val="24"/>
        </w:rPr>
        <w:t>согласно Приложениям</w:t>
      </w:r>
      <w:r w:rsidRPr="00EF14D1">
        <w:rPr>
          <w:rFonts w:ascii="Times New Roman" w:hAnsi="Times New Roman" w:cs="Times New Roman"/>
          <w:sz w:val="24"/>
          <w:szCs w:val="24"/>
        </w:rPr>
        <w:t xml:space="preserve"> 13 и 13.1 к законопроекту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D1">
        <w:rPr>
          <w:rFonts w:ascii="Times New Roman" w:hAnsi="Times New Roman" w:cs="Times New Roman"/>
          <w:sz w:val="24"/>
          <w:szCs w:val="24"/>
        </w:rPr>
        <w:t xml:space="preserve">произведен на основе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нормативных правовых актов Томской области и Российской Федерации, с использованием </w:t>
      </w:r>
      <w:r w:rsidRPr="00EF14D1">
        <w:rPr>
          <w:rFonts w:ascii="Times New Roman" w:hAnsi="Times New Roman" w:cs="Times New Roman"/>
          <w:sz w:val="24"/>
          <w:szCs w:val="24"/>
        </w:rPr>
        <w:t xml:space="preserve">документов и материалов, представленных одновременно с </w:t>
      </w:r>
      <w:r>
        <w:rPr>
          <w:rFonts w:ascii="Times New Roman" w:hAnsi="Times New Roman" w:cs="Times New Roman"/>
          <w:sz w:val="24"/>
          <w:szCs w:val="24"/>
        </w:rPr>
        <w:t>законопроектом</w:t>
      </w:r>
      <w:r w:rsidRPr="00EF14D1">
        <w:rPr>
          <w:rFonts w:ascii="Times New Roman" w:hAnsi="Times New Roman" w:cs="Times New Roman"/>
          <w:sz w:val="24"/>
          <w:szCs w:val="24"/>
        </w:rPr>
        <w:t>.</w:t>
      </w:r>
    </w:p>
    <w:p w:rsidR="00220B3F" w:rsidRPr="00EF14D1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D1">
        <w:rPr>
          <w:rFonts w:ascii="Times New Roman" w:hAnsi="Times New Roman" w:cs="Times New Roman"/>
          <w:sz w:val="24"/>
          <w:szCs w:val="24"/>
        </w:rPr>
        <w:t>Перечнем государственных программ Томской области (далее – Перечень ГП), утвержденным распоряжением Администрации Томской области от 19.02.2015 № 115-ра на 2016 год</w:t>
      </w:r>
      <w:r w:rsidR="004E4A90">
        <w:rPr>
          <w:rFonts w:ascii="Times New Roman" w:hAnsi="Times New Roman" w:cs="Times New Roman"/>
          <w:sz w:val="24"/>
          <w:szCs w:val="24"/>
        </w:rPr>
        <w:t xml:space="preserve">, </w:t>
      </w:r>
      <w:r w:rsidRPr="00EF14D1">
        <w:rPr>
          <w:rFonts w:ascii="Times New Roman" w:hAnsi="Times New Roman" w:cs="Times New Roman"/>
          <w:sz w:val="24"/>
          <w:szCs w:val="24"/>
        </w:rPr>
        <w:t xml:space="preserve"> предусмотрено к реализации 24 госпрограммы.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14D1">
        <w:rPr>
          <w:rFonts w:ascii="Times New Roman" w:hAnsi="Times New Roman" w:cs="Times New Roman"/>
          <w:sz w:val="24"/>
          <w:szCs w:val="24"/>
        </w:rPr>
        <w:t>роект областного бюджета на 2017-2019 годы сформирован в программной структуре расходов на основе 23 государственных программ Томской области.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4D1">
        <w:rPr>
          <w:rFonts w:ascii="Times New Roman" w:hAnsi="Times New Roman" w:cs="Times New Roman"/>
          <w:sz w:val="24"/>
          <w:szCs w:val="24"/>
        </w:rPr>
        <w:t xml:space="preserve">Пояснительная записка содержит информацию о возможности включения в областной бюджет финансирования госпрограммы «Содействие созданию в Томской области новых мест в общеобразовательных организациях» после подтверждения софинансирования из федерального бюджета. </w:t>
      </w:r>
      <w:r>
        <w:rPr>
          <w:rFonts w:ascii="Times New Roman" w:hAnsi="Times New Roman" w:cs="Times New Roman"/>
          <w:sz w:val="24"/>
          <w:szCs w:val="24"/>
        </w:rPr>
        <w:t xml:space="preserve">Резерва средств для реализации данной ГП в расходной части не предусмотрено, соответственно необходимо предусматривать </w:t>
      </w:r>
      <w:r w:rsidRPr="00EF14D1">
        <w:rPr>
          <w:rFonts w:ascii="Times New Roman" w:hAnsi="Times New Roman" w:cs="Times New Roman"/>
          <w:sz w:val="24"/>
          <w:szCs w:val="24"/>
        </w:rPr>
        <w:t xml:space="preserve">резерв по доходам, которые бы обеспечили соответствующий дополнительный объем расходов на </w:t>
      </w:r>
      <w:r>
        <w:rPr>
          <w:rFonts w:ascii="Times New Roman" w:hAnsi="Times New Roman" w:cs="Times New Roman"/>
          <w:sz w:val="24"/>
          <w:szCs w:val="24"/>
        </w:rPr>
        <w:t xml:space="preserve">данную ГП. В противном случае потребуется </w:t>
      </w:r>
      <w:r w:rsidRPr="00EF14D1">
        <w:rPr>
          <w:rFonts w:ascii="Times New Roman" w:hAnsi="Times New Roman" w:cs="Times New Roman"/>
          <w:sz w:val="24"/>
          <w:szCs w:val="24"/>
        </w:rPr>
        <w:t>перераспределение расходов, либо увеличение дефицита бюджета.</w:t>
      </w:r>
    </w:p>
    <w:p w:rsidR="00220B3F" w:rsidRPr="00EF14D1" w:rsidRDefault="00220B3F" w:rsidP="00220B3F">
      <w:pPr>
        <w:ind w:firstLine="709"/>
        <w:rPr>
          <w:sz w:val="24"/>
          <w:szCs w:val="24"/>
        </w:rPr>
      </w:pPr>
      <w:r w:rsidRPr="00EF14D1">
        <w:rPr>
          <w:sz w:val="24"/>
          <w:szCs w:val="24"/>
        </w:rPr>
        <w:t xml:space="preserve">В соответствии с законопроектом расходы областного бюджета на реализацию 23-х государственных программ на 2017 год планируются в объеме 48 619 424,1 тыс.руб., на 2018 год - 51 347 701,9 тыс.руб., на 2019 год – 51 706 996,1 тыс.руб., что составляет </w:t>
      </w:r>
      <w:r w:rsidRPr="00EF14D1">
        <w:rPr>
          <w:bCs/>
          <w:sz w:val="24"/>
          <w:szCs w:val="24"/>
        </w:rPr>
        <w:t xml:space="preserve">92,6%, 97,8% и 97,8% от общего объема расходов областного бюджета </w:t>
      </w:r>
      <w:r w:rsidRPr="00EF14D1">
        <w:rPr>
          <w:sz w:val="24"/>
          <w:szCs w:val="24"/>
        </w:rPr>
        <w:t>соответственно.</w:t>
      </w:r>
      <w:r>
        <w:rPr>
          <w:sz w:val="24"/>
          <w:szCs w:val="24"/>
        </w:rPr>
        <w:t xml:space="preserve"> Т</w:t>
      </w:r>
      <w:r w:rsidRPr="00EF14D1">
        <w:rPr>
          <w:sz w:val="24"/>
          <w:szCs w:val="24"/>
        </w:rPr>
        <w:t xml:space="preserve">емп роста расходов, </w:t>
      </w:r>
      <w:r>
        <w:rPr>
          <w:sz w:val="24"/>
          <w:szCs w:val="24"/>
        </w:rPr>
        <w:t xml:space="preserve">учтенных </w:t>
      </w:r>
      <w:r w:rsidRPr="00EF14D1">
        <w:rPr>
          <w:sz w:val="24"/>
          <w:szCs w:val="24"/>
        </w:rPr>
        <w:t>в законопроекте на</w:t>
      </w:r>
      <w:r>
        <w:rPr>
          <w:sz w:val="24"/>
          <w:szCs w:val="24"/>
        </w:rPr>
        <w:t xml:space="preserve"> 2017 год,</w:t>
      </w:r>
      <w:r w:rsidRPr="00EF14D1">
        <w:rPr>
          <w:sz w:val="24"/>
          <w:szCs w:val="24"/>
        </w:rPr>
        <w:t xml:space="preserve"> по отношению к 2016 году имеет отрицательную динамику и составляет 87,1 %.</w:t>
      </w:r>
      <w:r>
        <w:rPr>
          <w:sz w:val="24"/>
          <w:szCs w:val="24"/>
        </w:rPr>
        <w:t xml:space="preserve"> Это связано с отсутствием в законопроекте сумм межбюджетных трансфертов из федерального бюджета, кроме дотации на выравнивание бюджетной обеспеченности в размере 1 866,2 млн.руб., тогда как по состоянию на 20.10.2016 объем безвозмездных поступлений из федерального бюджета в 2016 году составляет 9 603,5 млн.руб.</w:t>
      </w:r>
    </w:p>
    <w:p w:rsidR="00220B3F" w:rsidRPr="00EF14D1" w:rsidRDefault="00220B3F" w:rsidP="00220B3F">
      <w:pPr>
        <w:ind w:firstLine="709"/>
        <w:rPr>
          <w:rFonts w:eastAsia="Calibri"/>
          <w:sz w:val="24"/>
          <w:szCs w:val="24"/>
        </w:rPr>
      </w:pPr>
      <w:r w:rsidRPr="00EF14D1">
        <w:rPr>
          <w:rFonts w:eastAsia="Calibri"/>
          <w:sz w:val="24"/>
          <w:szCs w:val="24"/>
        </w:rPr>
        <w:t xml:space="preserve">Перечнем ГП предусмотрена </w:t>
      </w:r>
      <w:r w:rsidRPr="00EF14D1">
        <w:rPr>
          <w:rFonts w:eastAsia="Calibri"/>
          <w:bCs/>
          <w:sz w:val="24"/>
          <w:szCs w:val="24"/>
        </w:rPr>
        <w:t>группировка программ по 5 стратегическим целям</w:t>
      </w:r>
      <w:r w:rsidRPr="00EF14D1">
        <w:rPr>
          <w:iCs/>
          <w:sz w:val="24"/>
          <w:szCs w:val="24"/>
        </w:rPr>
        <w:t xml:space="preserve"> социально-экономического развития Томской области</w:t>
      </w:r>
      <w:r w:rsidRPr="00EF14D1">
        <w:rPr>
          <w:rFonts w:eastAsia="Calibri"/>
          <w:sz w:val="24"/>
          <w:szCs w:val="24"/>
        </w:rPr>
        <w:t>:</w:t>
      </w:r>
    </w:p>
    <w:p w:rsidR="00220B3F" w:rsidRPr="00EF14D1" w:rsidRDefault="00220B3F" w:rsidP="00220B3F">
      <w:pPr>
        <w:ind w:firstLine="709"/>
        <w:rPr>
          <w:rFonts w:eastAsia="Calibri"/>
          <w:sz w:val="24"/>
          <w:szCs w:val="24"/>
        </w:rPr>
      </w:pPr>
      <w:r w:rsidRPr="00EF14D1">
        <w:rPr>
          <w:bCs/>
          <w:sz w:val="24"/>
          <w:szCs w:val="24"/>
        </w:rPr>
        <w:t>- цель 1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 (реализуется 4 госпрограммы)</w:t>
      </w:r>
      <w:r w:rsidRPr="00EF14D1">
        <w:rPr>
          <w:rFonts w:eastAsia="Calibri"/>
          <w:sz w:val="24"/>
          <w:szCs w:val="24"/>
        </w:rPr>
        <w:t>;</w:t>
      </w:r>
    </w:p>
    <w:p w:rsidR="00220B3F" w:rsidRPr="00EF14D1" w:rsidRDefault="00220B3F" w:rsidP="00220B3F">
      <w:pPr>
        <w:ind w:firstLine="709"/>
        <w:rPr>
          <w:rFonts w:eastAsia="Calibri"/>
          <w:sz w:val="24"/>
          <w:szCs w:val="24"/>
        </w:rPr>
      </w:pPr>
      <w:r w:rsidRPr="00EF14D1">
        <w:rPr>
          <w:bCs/>
          <w:sz w:val="24"/>
          <w:szCs w:val="24"/>
        </w:rPr>
        <w:t>- цель 2 «Рациональное использование природного капитала Томской области, устойчивое развитие агропромышленного комплекса» (реализуется 3 госпрограммы)</w:t>
      </w:r>
      <w:r w:rsidRPr="00EF14D1">
        <w:rPr>
          <w:rFonts w:eastAsia="Calibri"/>
          <w:sz w:val="24"/>
          <w:szCs w:val="24"/>
        </w:rPr>
        <w:t xml:space="preserve">; </w:t>
      </w:r>
    </w:p>
    <w:p w:rsidR="00220B3F" w:rsidRPr="00EF14D1" w:rsidRDefault="00220B3F" w:rsidP="00220B3F">
      <w:pPr>
        <w:ind w:firstLine="709"/>
        <w:rPr>
          <w:rFonts w:eastAsia="Calibri"/>
          <w:sz w:val="24"/>
          <w:szCs w:val="24"/>
        </w:rPr>
      </w:pPr>
      <w:r w:rsidRPr="00EF14D1">
        <w:rPr>
          <w:bCs/>
          <w:sz w:val="24"/>
          <w:szCs w:val="24"/>
        </w:rPr>
        <w:t>- цель 3 «Повышение уровня и качества жизни населения на всей территории Томской области, накопление человеческого капитала» (реализуется 10 госпрограмм)</w:t>
      </w:r>
      <w:r w:rsidRPr="00EF14D1">
        <w:rPr>
          <w:rFonts w:eastAsia="Calibri"/>
          <w:sz w:val="24"/>
          <w:szCs w:val="24"/>
        </w:rPr>
        <w:t xml:space="preserve">; </w:t>
      </w:r>
    </w:p>
    <w:p w:rsidR="00220B3F" w:rsidRPr="00EF14D1" w:rsidRDefault="00220B3F" w:rsidP="00220B3F">
      <w:pPr>
        <w:ind w:firstLine="709"/>
        <w:rPr>
          <w:bCs/>
          <w:sz w:val="24"/>
          <w:szCs w:val="24"/>
        </w:rPr>
      </w:pPr>
      <w:r w:rsidRPr="00EF14D1">
        <w:rPr>
          <w:bCs/>
          <w:sz w:val="24"/>
          <w:szCs w:val="24"/>
        </w:rPr>
        <w:t>- цель 4 «Сбалансированное территориальное развитие за счет развития инфраструктуры в Томской области» (реализуется 3 госпрограммы);</w:t>
      </w:r>
    </w:p>
    <w:p w:rsidR="00220B3F" w:rsidRPr="00EF14D1" w:rsidRDefault="00220B3F" w:rsidP="00220B3F">
      <w:pPr>
        <w:ind w:firstLine="709"/>
        <w:rPr>
          <w:bCs/>
          <w:sz w:val="24"/>
          <w:szCs w:val="24"/>
        </w:rPr>
      </w:pPr>
      <w:r w:rsidRPr="00EF14D1">
        <w:rPr>
          <w:bCs/>
          <w:sz w:val="24"/>
          <w:szCs w:val="24"/>
        </w:rPr>
        <w:t>- цель 5 «Эффективное управление регионом» (реализуется 4 госпрограммы).</w:t>
      </w:r>
    </w:p>
    <w:p w:rsidR="00220B3F" w:rsidRPr="00EF14D1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4D1">
        <w:rPr>
          <w:rFonts w:ascii="Times New Roman" w:hAnsi="Times New Roman" w:cs="Times New Roman"/>
          <w:sz w:val="24"/>
          <w:szCs w:val="24"/>
        </w:rPr>
        <w:t xml:space="preserve">Структура планируемых расходов областного бюджета на 2017-2019 годы в разрезе пяти стратегических целей </w:t>
      </w:r>
      <w:r w:rsidRPr="00EF14D1">
        <w:rPr>
          <w:rFonts w:ascii="Times New Roman" w:hAnsi="Times New Roman" w:cs="Times New Roman"/>
          <w:iCs/>
          <w:sz w:val="24"/>
          <w:szCs w:val="24"/>
        </w:rPr>
        <w:t xml:space="preserve">социально-экономического развития Томской области </w:t>
      </w:r>
      <w:r w:rsidRPr="00C023CE">
        <w:rPr>
          <w:rFonts w:ascii="Times New Roman" w:hAnsi="Times New Roman" w:cs="Times New Roman"/>
          <w:b/>
          <w:iCs/>
          <w:sz w:val="24"/>
          <w:szCs w:val="24"/>
        </w:rPr>
        <w:t>сохраняет социальную направленность областного бюджета и его ориентацию на выполнение социальных обязательств</w:t>
      </w:r>
      <w:r w:rsidRPr="00EF14D1">
        <w:rPr>
          <w:rFonts w:ascii="Times New Roman" w:hAnsi="Times New Roman" w:cs="Times New Roman"/>
          <w:iCs/>
          <w:sz w:val="24"/>
          <w:szCs w:val="24"/>
        </w:rPr>
        <w:t xml:space="preserve"> (таблица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EF14D1">
        <w:rPr>
          <w:rFonts w:ascii="Times New Roman" w:hAnsi="Times New Roman" w:cs="Times New Roman"/>
          <w:iCs/>
          <w:sz w:val="24"/>
          <w:szCs w:val="24"/>
        </w:rPr>
        <w:t>). При этом на плановый период заложено снижение доли расходов областного бюджета на социально направленную стратегическую ц</w:t>
      </w:r>
      <w:r w:rsidRPr="00EF14D1">
        <w:rPr>
          <w:rFonts w:ascii="Times New Roman" w:hAnsi="Times New Roman" w:cs="Times New Roman"/>
          <w:sz w:val="24"/>
          <w:szCs w:val="24"/>
        </w:rPr>
        <w:t>ель 3 «Повышение уровня и качества жизни населения на всей территории Томской области, накопление человеческого капитала» с 69,4 % в 2017 году до 65,6 % и 65,0 % в 2018 и 2019 годах соответственно.</w:t>
      </w:r>
    </w:p>
    <w:p w:rsidR="00220B3F" w:rsidRPr="00EF14D1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4D1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EF14D1">
        <w:rPr>
          <w:rFonts w:ascii="Times New Roman" w:hAnsi="Times New Roman" w:cs="Times New Roman"/>
          <w:iCs/>
          <w:sz w:val="24"/>
          <w:szCs w:val="24"/>
        </w:rPr>
        <w:t xml:space="preserve">отмечено увеличение доли расходов областного бюджета на </w:t>
      </w:r>
      <w:r w:rsidRPr="00EF14D1">
        <w:rPr>
          <w:rFonts w:ascii="Times New Roman" w:hAnsi="Times New Roman" w:cs="Times New Roman"/>
          <w:sz w:val="24"/>
          <w:szCs w:val="24"/>
        </w:rPr>
        <w:t>цель 5 «Эффективное управление регионом» с 16,3 % в 2017 году до 23,5% и 24,0%</w:t>
      </w:r>
      <w:r w:rsidRPr="00EF14D1">
        <w:rPr>
          <w:rFonts w:ascii="Times New Roman" w:hAnsi="Times New Roman" w:cs="Times New Roman"/>
          <w:iCs/>
          <w:sz w:val="24"/>
          <w:szCs w:val="24"/>
        </w:rPr>
        <w:t xml:space="preserve"> на плановый период 2018 и 2019 годов и снижение доли расходов на ц</w:t>
      </w:r>
      <w:r w:rsidRPr="00EF14D1">
        <w:rPr>
          <w:rFonts w:ascii="Times New Roman" w:hAnsi="Times New Roman" w:cs="Times New Roman"/>
          <w:sz w:val="24"/>
          <w:szCs w:val="24"/>
        </w:rPr>
        <w:t>ель 1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 с 4,4 % в 2017 году до 1,4 % на каждый год планового периода.</w:t>
      </w:r>
    </w:p>
    <w:p w:rsidR="00220B3F" w:rsidRPr="00EF14D1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F14D1">
        <w:rPr>
          <w:rFonts w:ascii="Times New Roman" w:hAnsi="Times New Roman" w:cs="Times New Roman"/>
          <w:sz w:val="24"/>
          <w:szCs w:val="24"/>
        </w:rPr>
        <w:t xml:space="preserve">Возможно, что расходы на реализацию пяти стратегических целей </w:t>
      </w:r>
      <w:r w:rsidRPr="00EF14D1">
        <w:rPr>
          <w:rFonts w:ascii="Times New Roman" w:hAnsi="Times New Roman" w:cs="Times New Roman"/>
          <w:iCs/>
          <w:sz w:val="24"/>
          <w:szCs w:val="24"/>
        </w:rPr>
        <w:t>социально-экономического развития Томской</w:t>
      </w:r>
      <w:r w:rsidRPr="00EF14D1">
        <w:rPr>
          <w:rFonts w:ascii="Times New Roman" w:hAnsi="Times New Roman" w:cs="Times New Roman"/>
          <w:sz w:val="24"/>
          <w:szCs w:val="24"/>
        </w:rPr>
        <w:t xml:space="preserve"> 2017-2019 годы после </w:t>
      </w:r>
      <w:r>
        <w:rPr>
          <w:rFonts w:ascii="Times New Roman" w:hAnsi="Times New Roman" w:cs="Times New Roman"/>
          <w:sz w:val="24"/>
          <w:szCs w:val="24"/>
        </w:rPr>
        <w:t>определения объемов</w:t>
      </w:r>
      <w:r w:rsidRPr="00EF14D1">
        <w:rPr>
          <w:rFonts w:ascii="Times New Roman" w:hAnsi="Times New Roman" w:cs="Times New Roman"/>
          <w:sz w:val="24"/>
          <w:szCs w:val="24"/>
        </w:rPr>
        <w:t xml:space="preserve"> межбюджетных трансфертов и претерпят структурные изменения в пользу направлений, обеспечивающих социально-экономическое развитие региона, однако по запланированной проектом областного бюджета на 2017-2019 годы с</w:t>
      </w:r>
      <w:r>
        <w:rPr>
          <w:rFonts w:ascii="Times New Roman" w:hAnsi="Times New Roman" w:cs="Times New Roman"/>
          <w:sz w:val="24"/>
          <w:szCs w:val="24"/>
        </w:rPr>
        <w:t>труктуре бюджетных ассигнований</w:t>
      </w:r>
      <w:r w:rsidRPr="00EF14D1">
        <w:rPr>
          <w:rFonts w:ascii="Times New Roman" w:hAnsi="Times New Roman" w:cs="Times New Roman"/>
          <w:sz w:val="24"/>
          <w:szCs w:val="24"/>
        </w:rPr>
        <w:t xml:space="preserve"> приоритетность в расходах областного бюджета закреплена не за экономическим и инф</w:t>
      </w:r>
      <w:r>
        <w:rPr>
          <w:rFonts w:ascii="Times New Roman" w:hAnsi="Times New Roman" w:cs="Times New Roman"/>
          <w:sz w:val="24"/>
          <w:szCs w:val="24"/>
        </w:rPr>
        <w:t>раструктурным развитием региона</w:t>
      </w:r>
      <w:r w:rsidRPr="00194333">
        <w:rPr>
          <w:rFonts w:ascii="Times New Roman" w:hAnsi="Times New Roman" w:cs="Times New Roman"/>
          <w:sz w:val="24"/>
          <w:szCs w:val="24"/>
        </w:rPr>
        <w:t>, однако реализация социальных приоритетов невозможна без соответствующего обеспечения условий д</w:t>
      </w:r>
      <w:r>
        <w:rPr>
          <w:rFonts w:ascii="Times New Roman" w:hAnsi="Times New Roman" w:cs="Times New Roman"/>
          <w:sz w:val="24"/>
          <w:szCs w:val="24"/>
        </w:rPr>
        <w:t>ля экономического роста.</w:t>
      </w:r>
    </w:p>
    <w:p w:rsidR="00220B3F" w:rsidRPr="00F22317" w:rsidRDefault="00220B3F" w:rsidP="00220B3F">
      <w:pPr>
        <w:pStyle w:val="ConsPlusNormal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F22317">
        <w:rPr>
          <w:rFonts w:ascii="Times New Roman" w:hAnsi="Times New Roman" w:cs="Times New Roman"/>
          <w:iCs/>
          <w:sz w:val="24"/>
          <w:szCs w:val="24"/>
        </w:rPr>
        <w:t xml:space="preserve">аблица </w:t>
      </w:r>
      <w:r w:rsidRPr="00A83B33">
        <w:rPr>
          <w:rFonts w:ascii="Times New Roman" w:hAnsi="Times New Roman" w:cs="Times New Roman"/>
          <w:iCs/>
          <w:sz w:val="24"/>
          <w:szCs w:val="24"/>
        </w:rPr>
        <w:t>5</w:t>
      </w:r>
    </w:p>
    <w:p w:rsidR="00220B3F" w:rsidRDefault="00220B3F" w:rsidP="00220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17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областного бюджета на 2017-2019 годы в разрезе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B3F" w:rsidRPr="00F22317" w:rsidRDefault="00220B3F" w:rsidP="00220B3F">
      <w:pPr>
        <w:pStyle w:val="ConsPlusNorma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22317">
        <w:rPr>
          <w:rFonts w:ascii="Times New Roman" w:hAnsi="Times New Roman" w:cs="Times New Roman"/>
          <w:b/>
          <w:sz w:val="24"/>
          <w:szCs w:val="24"/>
        </w:rPr>
        <w:t xml:space="preserve">стратегических целей </w:t>
      </w:r>
      <w:r w:rsidRPr="00F22317">
        <w:rPr>
          <w:rFonts w:ascii="Times New Roman" w:hAnsi="Times New Roman" w:cs="Times New Roman"/>
          <w:b/>
          <w:iCs/>
          <w:sz w:val="24"/>
          <w:szCs w:val="24"/>
        </w:rPr>
        <w:t>социально-экономического развития Томской области</w:t>
      </w:r>
    </w:p>
    <w:p w:rsidR="00220B3F" w:rsidRPr="00F22317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992"/>
        <w:gridCol w:w="992"/>
        <w:gridCol w:w="851"/>
        <w:gridCol w:w="850"/>
        <w:gridCol w:w="851"/>
      </w:tblGrid>
      <w:tr w:rsidR="00220B3F" w:rsidRPr="00F22317" w:rsidTr="00220B3F">
        <w:trPr>
          <w:trHeight w:val="9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F22317" w:rsidRDefault="00220B3F" w:rsidP="00220B3F">
            <w:pPr>
              <w:pStyle w:val="ConsPlusNormal"/>
              <w:jc w:val="center"/>
              <w:rPr>
                <w:color w:val="000000"/>
              </w:rPr>
            </w:pPr>
            <w:r w:rsidRPr="00F22317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</w:rPr>
              <w:t>целей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F22317">
              <w:rPr>
                <w:color w:val="000000"/>
                <w:sz w:val="20"/>
                <w:szCs w:val="20"/>
              </w:rPr>
              <w:t>Исполнено за</w:t>
            </w:r>
            <w:r w:rsidRPr="00F22317">
              <w:rPr>
                <w:color w:val="000000"/>
                <w:sz w:val="20"/>
                <w:szCs w:val="20"/>
              </w:rPr>
              <w:br/>
              <w:t xml:space="preserve"> 2015 год,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F22317">
              <w:rPr>
                <w:color w:val="000000"/>
                <w:sz w:val="20"/>
                <w:szCs w:val="20"/>
              </w:rPr>
              <w:t xml:space="preserve">Ожидаемое исполнение за </w:t>
            </w:r>
            <w:r w:rsidRPr="00F22317">
              <w:rPr>
                <w:color w:val="000000"/>
                <w:sz w:val="20"/>
                <w:szCs w:val="20"/>
              </w:rPr>
              <w:br/>
              <w:t>2016 год,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F22317">
              <w:rPr>
                <w:color w:val="000000"/>
                <w:sz w:val="20"/>
                <w:szCs w:val="20"/>
              </w:rPr>
              <w:t>Проект на 2017 год,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F22317">
              <w:rPr>
                <w:color w:val="000000"/>
                <w:sz w:val="20"/>
                <w:szCs w:val="20"/>
              </w:rPr>
              <w:t xml:space="preserve">Проект на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22317">
              <w:rPr>
                <w:color w:val="000000"/>
                <w:sz w:val="20"/>
                <w:szCs w:val="20"/>
              </w:rPr>
              <w:t>018 год,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2317">
              <w:rPr>
                <w:color w:val="000000"/>
                <w:sz w:val="20"/>
                <w:szCs w:val="20"/>
              </w:rPr>
              <w:t>Проект на</w:t>
            </w:r>
            <w:r w:rsidRPr="00F22317">
              <w:rPr>
                <w:color w:val="000000"/>
                <w:sz w:val="20"/>
                <w:szCs w:val="20"/>
              </w:rPr>
              <w:br/>
              <w:t xml:space="preserve"> 2019 год, %</w:t>
            </w:r>
          </w:p>
        </w:tc>
      </w:tr>
      <w:tr w:rsidR="00220B3F" w:rsidRPr="00F22317" w:rsidTr="00220B3F">
        <w:trPr>
          <w:trHeight w:val="2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 w:rsidRPr="00F22317">
              <w:rPr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F2231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F2231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F2231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F2231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22317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F2231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20B3F" w:rsidRPr="00CA5A93" w:rsidTr="00220B3F">
        <w:trPr>
          <w:trHeight w:val="1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3F" w:rsidRPr="00CA5A93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20B3F" w:rsidRPr="00CA5A93" w:rsidTr="00220B3F">
        <w:trPr>
          <w:trHeight w:val="11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B3F" w:rsidRPr="00CA5A93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 w:rsidRPr="00840E20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CA5A93">
              <w:rPr>
                <w:bCs/>
                <w:color w:val="000000"/>
                <w:sz w:val="20"/>
                <w:szCs w:val="20"/>
              </w:rPr>
              <w:t> Цель Стратегии СЭР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</w:t>
            </w:r>
            <w:r>
              <w:rPr>
                <w:bCs/>
                <w:color w:val="000000"/>
                <w:sz w:val="20"/>
                <w:szCs w:val="20"/>
              </w:rPr>
              <w:t>, развитие предпринимательства»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220B3F" w:rsidRPr="00CA5A93" w:rsidTr="00220B3F">
        <w:trPr>
          <w:trHeight w:val="6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B3F" w:rsidRPr="00CA5A93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 w:rsidRPr="00840E20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Pr="00CA5A93">
              <w:rPr>
                <w:bCs/>
                <w:color w:val="000000"/>
                <w:sz w:val="20"/>
                <w:szCs w:val="20"/>
              </w:rPr>
              <w:t xml:space="preserve"> Цель Стратегии СЭР «Рациональное использование природного капитала Томской области, устойчивое развит</w:t>
            </w:r>
            <w:r>
              <w:rPr>
                <w:bCs/>
                <w:color w:val="000000"/>
                <w:sz w:val="20"/>
                <w:szCs w:val="20"/>
              </w:rPr>
              <w:t>ие агропромышленного комплекса»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220B3F" w:rsidRPr="00CA5A93" w:rsidTr="00220B3F">
        <w:trPr>
          <w:trHeight w:val="6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B3F" w:rsidRPr="00CA5A93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 w:rsidRPr="00840E20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CA5A93">
              <w:rPr>
                <w:bCs/>
                <w:color w:val="000000"/>
                <w:sz w:val="20"/>
                <w:szCs w:val="20"/>
              </w:rPr>
              <w:t xml:space="preserve"> Цель Стратегии СЭР «Повышение уровня и качества жизни населения на всей территории Томской области, нак</w:t>
            </w:r>
            <w:r>
              <w:rPr>
                <w:bCs/>
                <w:color w:val="000000"/>
                <w:sz w:val="20"/>
                <w:szCs w:val="20"/>
              </w:rPr>
              <w:t>опление человеческого капитала»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220B3F" w:rsidRPr="00CA5A93" w:rsidTr="00220B3F">
        <w:trPr>
          <w:trHeight w:val="6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B3F" w:rsidRPr="00CA5A93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 w:rsidRPr="00840E20"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CA5A93">
              <w:rPr>
                <w:bCs/>
                <w:color w:val="000000"/>
                <w:sz w:val="20"/>
                <w:szCs w:val="20"/>
              </w:rPr>
              <w:t xml:space="preserve"> Цель Стратегии СЭР «Сбалансированное территориальное развитие за счет развития ин</w:t>
            </w:r>
            <w:r>
              <w:rPr>
                <w:bCs/>
                <w:color w:val="000000"/>
                <w:sz w:val="20"/>
                <w:szCs w:val="20"/>
              </w:rPr>
              <w:t>фраструктуры в Томской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220B3F" w:rsidRPr="00CA5A93" w:rsidTr="00220B3F">
        <w:trPr>
          <w:trHeight w:val="4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B3F" w:rsidRPr="00CA5A93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 w:rsidRPr="00840E20"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Pr="00CA5A93">
              <w:rPr>
                <w:bCs/>
                <w:color w:val="000000"/>
                <w:sz w:val="20"/>
                <w:szCs w:val="20"/>
              </w:rPr>
              <w:t xml:space="preserve"> Цель Стратегии СЭР «Эф</w:t>
            </w:r>
            <w:r>
              <w:rPr>
                <w:bCs/>
                <w:color w:val="000000"/>
                <w:sz w:val="20"/>
                <w:szCs w:val="20"/>
              </w:rPr>
              <w:t>фективное управление регионом»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CA5A93" w:rsidRDefault="00220B3F" w:rsidP="00220B3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A5A93">
              <w:rPr>
                <w:bCs/>
                <w:color w:val="000000"/>
                <w:sz w:val="20"/>
                <w:szCs w:val="20"/>
              </w:rPr>
              <w:t>24,0</w:t>
            </w:r>
          </w:p>
        </w:tc>
      </w:tr>
    </w:tbl>
    <w:p w:rsidR="00220B3F" w:rsidRDefault="00220B3F" w:rsidP="00220B3F">
      <w:pPr>
        <w:pStyle w:val="ConsPlusNormal"/>
        <w:ind w:firstLine="709"/>
        <w:jc w:val="both"/>
        <w:rPr>
          <w:b/>
          <w:iCs/>
        </w:rPr>
      </w:pPr>
    </w:p>
    <w:p w:rsidR="00220B3F" w:rsidRPr="009139C5" w:rsidRDefault="00220B3F" w:rsidP="00220B3F">
      <w:pPr>
        <w:ind w:firstLine="709"/>
        <w:rPr>
          <w:iCs/>
          <w:sz w:val="24"/>
          <w:szCs w:val="24"/>
        </w:rPr>
      </w:pPr>
      <w:r w:rsidRPr="009139C5">
        <w:rPr>
          <w:iCs/>
          <w:sz w:val="24"/>
          <w:szCs w:val="24"/>
        </w:rPr>
        <w:t xml:space="preserve">Анализом объемов финансирования государственных программ в рамках каждой стратегической цели </w:t>
      </w:r>
      <w:r>
        <w:rPr>
          <w:iCs/>
          <w:sz w:val="24"/>
          <w:szCs w:val="24"/>
        </w:rPr>
        <w:t xml:space="preserve">отмечены </w:t>
      </w:r>
      <w:r w:rsidRPr="009139C5">
        <w:rPr>
          <w:iCs/>
          <w:sz w:val="24"/>
          <w:szCs w:val="24"/>
        </w:rPr>
        <w:t>структурные изменения в распределении объемов бюджетных средств на реализацию отдельных госпрограмм.</w:t>
      </w:r>
      <w:r>
        <w:rPr>
          <w:iCs/>
          <w:sz w:val="24"/>
          <w:szCs w:val="24"/>
        </w:rPr>
        <w:t xml:space="preserve"> Так, з</w:t>
      </w:r>
      <w:r w:rsidRPr="009139C5">
        <w:rPr>
          <w:iCs/>
          <w:sz w:val="24"/>
          <w:szCs w:val="24"/>
        </w:rPr>
        <w:t>начительная концентрация бюджетных средств в рамках цели «</w:t>
      </w:r>
      <w:r w:rsidRPr="009139C5">
        <w:rPr>
          <w:sz w:val="24"/>
          <w:szCs w:val="24"/>
        </w:rPr>
        <w:t>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</w:t>
      </w:r>
      <w:r w:rsidRPr="009139C5">
        <w:rPr>
          <w:iCs/>
          <w:sz w:val="24"/>
          <w:szCs w:val="24"/>
        </w:rPr>
        <w:t xml:space="preserve">» (таблица </w:t>
      </w:r>
      <w:r>
        <w:rPr>
          <w:iCs/>
          <w:sz w:val="24"/>
          <w:szCs w:val="24"/>
        </w:rPr>
        <w:t>6</w:t>
      </w:r>
      <w:r w:rsidRPr="009139C5">
        <w:rPr>
          <w:iCs/>
          <w:sz w:val="24"/>
          <w:szCs w:val="24"/>
        </w:rPr>
        <w:t>) с долей 67,2% отмечена в 2017 году на реализации ГП «Улучшение инвестиционного климата и укрепление международных и межрегиональных связей Томской области» (</w:t>
      </w:r>
      <w:r w:rsidRPr="009139C5">
        <w:rPr>
          <w:sz w:val="24"/>
          <w:szCs w:val="24"/>
        </w:rPr>
        <w:t>1 425,9 млн.руб.</w:t>
      </w:r>
      <w:r w:rsidRPr="009139C5">
        <w:rPr>
          <w:iCs/>
          <w:sz w:val="24"/>
          <w:szCs w:val="24"/>
        </w:rPr>
        <w:t xml:space="preserve">), при этом в связи с ежегодным сокращением плановых объемов финансирования на реализацию ГП до </w:t>
      </w:r>
      <w:r w:rsidRPr="009139C5">
        <w:rPr>
          <w:sz w:val="24"/>
          <w:szCs w:val="24"/>
        </w:rPr>
        <w:t>60 857,3 тыс.руб.</w:t>
      </w:r>
      <w:r w:rsidRPr="009139C5">
        <w:rPr>
          <w:iCs/>
          <w:sz w:val="24"/>
          <w:szCs w:val="24"/>
        </w:rPr>
        <w:t xml:space="preserve"> на 2018 и 2019 годы доля расходов на ГП составляет только по 8,2%.</w:t>
      </w:r>
    </w:p>
    <w:p w:rsidR="00220B3F" w:rsidRPr="009139C5" w:rsidRDefault="00220B3F" w:rsidP="00220B3F">
      <w:pPr>
        <w:ind w:firstLine="709"/>
        <w:rPr>
          <w:iCs/>
          <w:sz w:val="24"/>
          <w:szCs w:val="24"/>
        </w:rPr>
      </w:pPr>
      <w:r w:rsidRPr="009139C5">
        <w:rPr>
          <w:iCs/>
          <w:sz w:val="24"/>
          <w:szCs w:val="24"/>
        </w:rPr>
        <w:t xml:space="preserve">Снижение плановых объемов финансирования на реализацию ГП </w:t>
      </w:r>
      <w:r w:rsidRPr="009139C5">
        <w:rPr>
          <w:sz w:val="24"/>
          <w:szCs w:val="24"/>
        </w:rPr>
        <w:t>«Улучшение инвестиционного климата и укрепление международных и межрегиональных связей Томской области» в 2018 и 2019 годах привело к структурным преобразованиям в виде перераспределения доли расходов в плановом периоде в пользу других ГП, реализуемых в рамках стратегической цели 1.</w:t>
      </w:r>
    </w:p>
    <w:p w:rsidR="00220B3F" w:rsidRPr="001459A8" w:rsidRDefault="00220B3F" w:rsidP="00220B3F">
      <w:pPr>
        <w:pStyle w:val="ConsPlusNormal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59A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20B3F" w:rsidRPr="009D6BCE" w:rsidRDefault="00220B3F" w:rsidP="00220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CE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областного бюджета на 2017-2019 годы </w:t>
      </w:r>
    </w:p>
    <w:p w:rsidR="00220B3F" w:rsidRPr="009D6BCE" w:rsidRDefault="00220B3F" w:rsidP="00220B3F">
      <w:pPr>
        <w:pStyle w:val="ConsPlusNorma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D6BCE">
        <w:rPr>
          <w:rFonts w:ascii="Times New Roman" w:hAnsi="Times New Roman" w:cs="Times New Roman"/>
          <w:b/>
          <w:sz w:val="24"/>
          <w:szCs w:val="24"/>
        </w:rPr>
        <w:t>на государственные программы в разрезе стратегической цели 1</w:t>
      </w:r>
    </w:p>
    <w:p w:rsidR="00220B3F" w:rsidRPr="009D6BCE" w:rsidRDefault="00220B3F" w:rsidP="00220B3F">
      <w:pPr>
        <w:ind w:firstLine="709"/>
        <w:rPr>
          <w:iCs/>
          <w:sz w:val="20"/>
          <w:szCs w:val="20"/>
        </w:rPr>
      </w:pPr>
    </w:p>
    <w:tbl>
      <w:tblPr>
        <w:tblW w:w="10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29"/>
        <w:gridCol w:w="1229"/>
        <w:gridCol w:w="1230"/>
        <w:gridCol w:w="850"/>
        <w:gridCol w:w="851"/>
        <w:gridCol w:w="850"/>
      </w:tblGrid>
      <w:tr w:rsidR="00220B3F" w:rsidRPr="009D6BCE" w:rsidTr="00220B3F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jc w:val="center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Наименование государственной программы Томской области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D6BCE">
              <w:rPr>
                <w:color w:val="000000"/>
                <w:sz w:val="20"/>
                <w:szCs w:val="20"/>
              </w:rPr>
              <w:t>Проект на 2017 год, тыс.руб.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D6BCE">
              <w:rPr>
                <w:color w:val="000000"/>
                <w:sz w:val="20"/>
                <w:szCs w:val="20"/>
              </w:rPr>
              <w:t>Проект на 2018 год, тыс.руб.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D6BCE">
              <w:rPr>
                <w:color w:val="000000"/>
                <w:sz w:val="20"/>
                <w:szCs w:val="20"/>
              </w:rPr>
              <w:t>Проект на 2019 год, тыс.руб.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jc w:val="center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Структура расходов, %</w:t>
            </w:r>
          </w:p>
        </w:tc>
      </w:tr>
      <w:tr w:rsidR="00220B3F" w:rsidRPr="009D6BCE" w:rsidTr="00220B3F">
        <w:trPr>
          <w:trHeight w:val="5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3F" w:rsidRPr="009D6BCE" w:rsidRDefault="00220B3F" w:rsidP="00220B3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9D6BCE" w:rsidRDefault="00220B3F" w:rsidP="00220B3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9D6BCE" w:rsidRDefault="00220B3F" w:rsidP="00220B3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9D6BCE" w:rsidRDefault="00220B3F" w:rsidP="00220B3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Проект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Проект на 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Проект на 2019 год</w:t>
            </w:r>
          </w:p>
        </w:tc>
      </w:tr>
      <w:tr w:rsidR="00220B3F" w:rsidRPr="009D6BCE" w:rsidTr="00220B3F">
        <w:trPr>
          <w:trHeight w:val="15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B3F" w:rsidRPr="009D6BCE" w:rsidRDefault="00220B3F" w:rsidP="00220B3F">
            <w:pPr>
              <w:jc w:val="left"/>
              <w:rPr>
                <w:bCs/>
                <w:sz w:val="20"/>
                <w:szCs w:val="20"/>
              </w:rPr>
            </w:pPr>
            <w:r w:rsidRPr="009D6BCE">
              <w:rPr>
                <w:bCs/>
                <w:sz w:val="20"/>
                <w:szCs w:val="20"/>
              </w:rPr>
              <w:t xml:space="preserve">Цель 1 </w:t>
            </w:r>
            <w:r w:rsidRPr="0034025C">
              <w:rPr>
                <w:b/>
                <w:bCs/>
                <w:sz w:val="20"/>
                <w:szCs w:val="20"/>
              </w:rPr>
              <w:t>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D6BCE">
              <w:rPr>
                <w:b/>
                <w:bCs/>
                <w:sz w:val="20"/>
                <w:szCs w:val="20"/>
              </w:rPr>
              <w:t>2 121 071,1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D6BCE">
              <w:rPr>
                <w:b/>
                <w:bCs/>
                <w:sz w:val="20"/>
                <w:szCs w:val="20"/>
              </w:rPr>
              <w:t>743 071,1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D6BCE">
              <w:rPr>
                <w:b/>
                <w:bCs/>
                <w:sz w:val="20"/>
                <w:szCs w:val="20"/>
              </w:rPr>
              <w:t>743 071,1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9D6BC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9D6BC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9D6BC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20B3F" w:rsidRPr="009D6BCE" w:rsidTr="00220B3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9D6BCE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ГП «Улучшение инвестиционного климата и укрепление международных и межрегиональных связей ТО»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1 425 857,3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60 857,3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60 857,3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8,2</w:t>
            </w:r>
          </w:p>
        </w:tc>
      </w:tr>
      <w:tr w:rsidR="00220B3F" w:rsidRPr="009D6BCE" w:rsidTr="00220B3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9D6BCE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ГП «Развитие инновационной деятельности и науки в ТО»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107 938,1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107 938,1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107 938,1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14,5</w:t>
            </w:r>
          </w:p>
        </w:tc>
      </w:tr>
      <w:tr w:rsidR="00220B3F" w:rsidRPr="009D6BCE" w:rsidTr="00220B3F">
        <w:trPr>
          <w:trHeight w:val="4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9D6BCE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ГП «Развитие предпринимательства в ТО»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124 312,2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124 312,2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124 312,2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16,7</w:t>
            </w:r>
          </w:p>
        </w:tc>
      </w:tr>
      <w:tr w:rsidR="00220B3F" w:rsidRPr="009D6BCE" w:rsidTr="00220B3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ГП «Совершенствование механизмов управления экономическим развитием ТО»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462 963,5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449 963,5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9D6BCE" w:rsidRDefault="00220B3F" w:rsidP="00220B3F">
            <w:pPr>
              <w:ind w:firstLine="0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449 963,5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9D6BCE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9D6BCE">
              <w:rPr>
                <w:sz w:val="20"/>
                <w:szCs w:val="20"/>
              </w:rPr>
              <w:t>60,6</w:t>
            </w:r>
          </w:p>
        </w:tc>
      </w:tr>
    </w:tbl>
    <w:p w:rsidR="00220B3F" w:rsidRDefault="00220B3F" w:rsidP="00220B3F">
      <w:pPr>
        <w:ind w:firstLine="709"/>
        <w:rPr>
          <w:iCs/>
        </w:rPr>
      </w:pPr>
    </w:p>
    <w:p w:rsidR="00220B3F" w:rsidRPr="008C4198" w:rsidRDefault="00220B3F" w:rsidP="00220B3F">
      <w:pPr>
        <w:ind w:firstLine="709"/>
        <w:rPr>
          <w:iCs/>
          <w:sz w:val="24"/>
          <w:szCs w:val="24"/>
        </w:rPr>
      </w:pPr>
      <w:r w:rsidRPr="008C4198">
        <w:rPr>
          <w:iCs/>
          <w:sz w:val="24"/>
          <w:szCs w:val="24"/>
        </w:rPr>
        <w:t>В рамках цели «</w:t>
      </w:r>
      <w:r w:rsidRPr="008C4198">
        <w:rPr>
          <w:sz w:val="24"/>
          <w:szCs w:val="24"/>
        </w:rPr>
        <w:t>Рациональное использование природного капитала Томской области, устойчивое развитие агропромышленного комплекса</w:t>
      </w:r>
      <w:r w:rsidRPr="008C4198">
        <w:rPr>
          <w:iCs/>
          <w:sz w:val="24"/>
          <w:szCs w:val="24"/>
        </w:rPr>
        <w:t xml:space="preserve">» (таблица </w:t>
      </w:r>
      <w:r>
        <w:rPr>
          <w:iCs/>
          <w:sz w:val="24"/>
          <w:szCs w:val="24"/>
        </w:rPr>
        <w:t>7</w:t>
      </w:r>
      <w:r w:rsidRPr="008C4198">
        <w:rPr>
          <w:iCs/>
          <w:sz w:val="24"/>
          <w:szCs w:val="24"/>
        </w:rPr>
        <w:t xml:space="preserve">) основная доля расходов в размере 87,3% </w:t>
      </w:r>
      <w:r>
        <w:rPr>
          <w:iCs/>
          <w:sz w:val="24"/>
          <w:szCs w:val="24"/>
        </w:rPr>
        <w:t xml:space="preserve">ежегодно </w:t>
      </w:r>
      <w:r w:rsidRPr="008C4198">
        <w:rPr>
          <w:iCs/>
          <w:sz w:val="24"/>
          <w:szCs w:val="24"/>
        </w:rPr>
        <w:t>приходится на ГП «Развитие сельского хозяйства и регулируемых рынков в Томской области».</w:t>
      </w:r>
    </w:p>
    <w:p w:rsidR="00220B3F" w:rsidRPr="008C4198" w:rsidRDefault="00220B3F" w:rsidP="00220B3F">
      <w:pPr>
        <w:pStyle w:val="ConsPlusNormal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C4198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20B3F" w:rsidRPr="008C4198" w:rsidRDefault="00220B3F" w:rsidP="00220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98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областного бюджета на 2017-2019 годы </w:t>
      </w:r>
    </w:p>
    <w:p w:rsidR="00220B3F" w:rsidRPr="008C4198" w:rsidRDefault="00220B3F" w:rsidP="00220B3F">
      <w:pPr>
        <w:pStyle w:val="ConsPlusNorma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C4198">
        <w:rPr>
          <w:rFonts w:ascii="Times New Roman" w:hAnsi="Times New Roman" w:cs="Times New Roman"/>
          <w:b/>
          <w:sz w:val="24"/>
          <w:szCs w:val="24"/>
        </w:rPr>
        <w:t>на государственные программы в разрезе стратегической цели 2</w:t>
      </w:r>
    </w:p>
    <w:p w:rsidR="00220B3F" w:rsidRDefault="00220B3F" w:rsidP="00220B3F">
      <w:pPr>
        <w:ind w:firstLine="709"/>
        <w:rPr>
          <w:iCs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301"/>
        <w:gridCol w:w="1251"/>
        <w:gridCol w:w="850"/>
        <w:gridCol w:w="851"/>
        <w:gridCol w:w="850"/>
      </w:tblGrid>
      <w:tr w:rsidR="00220B3F" w:rsidRPr="004D0DAC" w:rsidTr="00220B3F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Наименование государственной программы Томской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2017 год, тыс.руб.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2018 год, тыс.руб.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2019 год, тыс.руб.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Структура расходов, %</w:t>
            </w:r>
          </w:p>
        </w:tc>
      </w:tr>
      <w:tr w:rsidR="00220B3F" w:rsidRPr="004D0DAC" w:rsidTr="00220B3F">
        <w:trPr>
          <w:trHeight w:val="79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3F" w:rsidRPr="004D0DAC" w:rsidRDefault="00220B3F" w:rsidP="00220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D0DAC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D0DAC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D0DAC" w:rsidRDefault="00220B3F" w:rsidP="00220B3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2019 год</w:t>
            </w:r>
          </w:p>
        </w:tc>
      </w:tr>
      <w:tr w:rsidR="00220B3F" w:rsidRPr="004D0DAC" w:rsidTr="00220B3F">
        <w:trPr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B3F" w:rsidRPr="004D0DAC" w:rsidRDefault="00220B3F" w:rsidP="00220B3F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4D0DAC">
              <w:rPr>
                <w:bCs/>
                <w:color w:val="000000"/>
                <w:sz w:val="20"/>
                <w:szCs w:val="20"/>
              </w:rPr>
              <w:t xml:space="preserve">Цель 2 </w:t>
            </w:r>
            <w:r w:rsidRPr="0034025C">
              <w:rPr>
                <w:b/>
                <w:bCs/>
                <w:color w:val="000000"/>
                <w:sz w:val="20"/>
                <w:szCs w:val="20"/>
              </w:rPr>
              <w:t>«Рациональное использование природного капитала Томской области, устойчивое развитие агропромышленного комплекса»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DAC">
              <w:rPr>
                <w:b/>
                <w:bCs/>
                <w:color w:val="000000"/>
                <w:sz w:val="20"/>
                <w:szCs w:val="20"/>
              </w:rPr>
              <w:t>1 593 562,8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DAC">
              <w:rPr>
                <w:b/>
                <w:bCs/>
                <w:color w:val="000000"/>
                <w:sz w:val="20"/>
                <w:szCs w:val="20"/>
              </w:rPr>
              <w:t>1 593 562,8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0DAC">
              <w:rPr>
                <w:b/>
                <w:bCs/>
                <w:color w:val="000000"/>
                <w:sz w:val="20"/>
                <w:szCs w:val="20"/>
              </w:rPr>
              <w:t>1 593 562,8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4D0DA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4D0DA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4D0DA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20B3F" w:rsidRPr="004D0DAC" w:rsidTr="00220B3F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D0DAC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D0DAC">
              <w:rPr>
                <w:color w:val="000000"/>
                <w:sz w:val="20"/>
                <w:szCs w:val="20"/>
              </w:rPr>
              <w:t xml:space="preserve">Развитие сельского хозяйства и регулируемых рынков в </w:t>
            </w:r>
            <w:r>
              <w:rPr>
                <w:color w:val="000000"/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1 391 486,3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1 391 486,3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1 391 486,3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87,3</w:t>
            </w:r>
          </w:p>
        </w:tc>
      </w:tr>
      <w:tr w:rsidR="00220B3F" w:rsidRPr="004D0DAC" w:rsidTr="00220B3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D0DAC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D0DAC">
              <w:rPr>
                <w:color w:val="000000"/>
                <w:sz w:val="20"/>
                <w:szCs w:val="20"/>
              </w:rPr>
              <w:t xml:space="preserve">Воспроизводство и использование природных ресурсов </w:t>
            </w:r>
            <w:r>
              <w:rPr>
                <w:color w:val="000000"/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171 166,4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171 166,4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171 166,4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10,7</w:t>
            </w:r>
          </w:p>
        </w:tc>
      </w:tr>
      <w:tr w:rsidR="00220B3F" w:rsidRPr="004D0DAC" w:rsidTr="00220B3F">
        <w:trPr>
          <w:trHeight w:val="6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D0DAC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«</w:t>
            </w:r>
            <w:r w:rsidRPr="004D0DAC">
              <w:rPr>
                <w:color w:val="000000"/>
                <w:sz w:val="20"/>
                <w:szCs w:val="20"/>
              </w:rPr>
              <w:t xml:space="preserve">Развитие промышленного использования возобновляемых природных ресурсов </w:t>
            </w:r>
            <w:r>
              <w:rPr>
                <w:color w:val="000000"/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30 910,1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30 910,1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30 910,1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D0DAC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D0DAC">
              <w:rPr>
                <w:sz w:val="20"/>
                <w:szCs w:val="20"/>
              </w:rPr>
              <w:t>1,9</w:t>
            </w:r>
          </w:p>
        </w:tc>
      </w:tr>
    </w:tbl>
    <w:p w:rsidR="00220B3F" w:rsidRDefault="00220B3F" w:rsidP="00220B3F">
      <w:pPr>
        <w:ind w:firstLine="709"/>
        <w:rPr>
          <w:iCs/>
        </w:rPr>
      </w:pPr>
    </w:p>
    <w:p w:rsidR="00220B3F" w:rsidRPr="0025755F" w:rsidRDefault="00220B3F" w:rsidP="00220B3F">
      <w:pPr>
        <w:ind w:firstLine="709"/>
        <w:rPr>
          <w:iCs/>
          <w:sz w:val="24"/>
          <w:szCs w:val="24"/>
        </w:rPr>
      </w:pPr>
      <w:r w:rsidRPr="0025755F">
        <w:rPr>
          <w:iCs/>
          <w:sz w:val="24"/>
          <w:szCs w:val="24"/>
        </w:rPr>
        <w:t xml:space="preserve">Основное распределение объемов бюджетных ассигнований в рамках цели «Повышение уровня и качества жизни населения на всей территории Томской области, накопление человеческого капитала» (таблица </w:t>
      </w:r>
      <w:r>
        <w:rPr>
          <w:iCs/>
          <w:sz w:val="24"/>
          <w:szCs w:val="24"/>
        </w:rPr>
        <w:t>8</w:t>
      </w:r>
      <w:r w:rsidRPr="0025755F">
        <w:rPr>
          <w:iCs/>
          <w:sz w:val="24"/>
          <w:szCs w:val="24"/>
        </w:rPr>
        <w:t xml:space="preserve">) на период 2017-2019 годов отмечено по трем программам: ГП «Развитие здравоохранения в Томской области» с долей в 2017-2019 годах 26,4 %, 25,9 % и 26,0 % соответственно, ГП «Развитие образования в Томской области» с долей в 2017-2019 годах 41,5 %, 43,2 % и 43,0 % соответственно и ГП «Социальная поддержка населения Томской области» с долей в 2017-2019 годах 18,0 %, 18, 0% и 18,1 % соответственно. По ГП </w:t>
      </w:r>
      <w:r w:rsidRPr="0025755F">
        <w:rPr>
          <w:sz w:val="24"/>
          <w:szCs w:val="24"/>
        </w:rPr>
        <w:t>«Обеспечение доступности жилья и улучшение качества жилищных условий населения Томской области» в связи с сокращением объемов бюджетных ассигнований с 556 986,3 тыс.руб. на 2017 год до 176 747,3 тыс.руб. и 177 661,3 тыс.руб. на 2018 и 2019 годы</w:t>
      </w:r>
      <w:r>
        <w:rPr>
          <w:sz w:val="24"/>
          <w:szCs w:val="24"/>
        </w:rPr>
        <w:t>,</w:t>
      </w:r>
      <w:r w:rsidRPr="0025755F">
        <w:rPr>
          <w:sz w:val="24"/>
          <w:szCs w:val="24"/>
        </w:rPr>
        <w:t xml:space="preserve"> отмечено соответствующее снижение доли расходов на ГП с 1,7 % на очередной год и до 0,5% на каждый год планового периода.</w:t>
      </w:r>
    </w:p>
    <w:p w:rsidR="00220B3F" w:rsidRPr="004B7597" w:rsidRDefault="00220B3F" w:rsidP="00220B3F">
      <w:pPr>
        <w:ind w:firstLine="709"/>
        <w:rPr>
          <w:iCs/>
        </w:rPr>
      </w:pPr>
    </w:p>
    <w:p w:rsidR="00220B3F" w:rsidRPr="0025755F" w:rsidRDefault="00220B3F" w:rsidP="00220B3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5755F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20B3F" w:rsidRPr="0025755F" w:rsidRDefault="00220B3F" w:rsidP="00220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55F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областного бюджета на 2017-2019 годы </w:t>
      </w:r>
    </w:p>
    <w:p w:rsidR="00220B3F" w:rsidRPr="0025755F" w:rsidRDefault="00220B3F" w:rsidP="00220B3F">
      <w:pPr>
        <w:pStyle w:val="ConsPlusNorma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5755F">
        <w:rPr>
          <w:rFonts w:ascii="Times New Roman" w:hAnsi="Times New Roman" w:cs="Times New Roman"/>
          <w:b/>
          <w:sz w:val="24"/>
          <w:szCs w:val="24"/>
        </w:rPr>
        <w:t>на государственные программы в разрезе стратегической цели 3</w:t>
      </w:r>
    </w:p>
    <w:p w:rsidR="00220B3F" w:rsidRDefault="00220B3F" w:rsidP="00220B3F">
      <w:pPr>
        <w:ind w:firstLine="709"/>
        <w:rPr>
          <w:iCs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276"/>
        <w:gridCol w:w="1276"/>
        <w:gridCol w:w="850"/>
        <w:gridCol w:w="851"/>
        <w:gridCol w:w="850"/>
      </w:tblGrid>
      <w:tr w:rsidR="00220B3F" w:rsidRPr="00FB2907" w:rsidTr="00220B3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Наименование государственной программы Томской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2017 год,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2018 год,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2019 год, тыс.руб.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Структура расходов, %</w:t>
            </w:r>
          </w:p>
        </w:tc>
      </w:tr>
      <w:tr w:rsidR="00220B3F" w:rsidRPr="00FB2907" w:rsidTr="00220B3F">
        <w:trPr>
          <w:trHeight w:val="74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2019 год</w:t>
            </w:r>
          </w:p>
        </w:tc>
      </w:tr>
      <w:tr w:rsidR="00220B3F" w:rsidRPr="00FB2907" w:rsidTr="00220B3F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B3F" w:rsidRPr="00FB2907" w:rsidRDefault="00220B3F" w:rsidP="00220B3F">
            <w:pPr>
              <w:rPr>
                <w:bCs/>
                <w:sz w:val="20"/>
                <w:szCs w:val="20"/>
              </w:rPr>
            </w:pPr>
            <w:r w:rsidRPr="00FB2907">
              <w:rPr>
                <w:bCs/>
                <w:sz w:val="20"/>
                <w:szCs w:val="20"/>
              </w:rPr>
              <w:t xml:space="preserve">Цель </w:t>
            </w:r>
            <w:r>
              <w:rPr>
                <w:bCs/>
                <w:sz w:val="20"/>
                <w:szCs w:val="20"/>
              </w:rPr>
              <w:t>3</w:t>
            </w:r>
            <w:r w:rsidRPr="00FB2907">
              <w:rPr>
                <w:bCs/>
                <w:sz w:val="20"/>
                <w:szCs w:val="20"/>
              </w:rPr>
              <w:t xml:space="preserve"> </w:t>
            </w:r>
            <w:r w:rsidRPr="0025755F">
              <w:rPr>
                <w:b/>
                <w:bCs/>
                <w:sz w:val="20"/>
                <w:szCs w:val="20"/>
              </w:rPr>
              <w:t>«Повышение уровня и качества жизни населения на всей территории ТО, накопление человеческого капитала»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763CB8">
              <w:rPr>
                <w:b/>
                <w:bCs/>
                <w:sz w:val="20"/>
                <w:szCs w:val="20"/>
              </w:rPr>
              <w:t>33 752 157,7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763CB8">
              <w:rPr>
                <w:b/>
                <w:bCs/>
                <w:sz w:val="20"/>
                <w:szCs w:val="20"/>
              </w:rPr>
              <w:t>33 702 913,6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763CB8">
              <w:rPr>
                <w:b/>
                <w:bCs/>
                <w:sz w:val="20"/>
                <w:szCs w:val="20"/>
              </w:rPr>
              <w:t>33 596 048,8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763CB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763CB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763CB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20B3F" w:rsidRPr="00FB2907" w:rsidTr="00220B3F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 xml:space="preserve">Развитие здравоохранения в </w:t>
            </w:r>
            <w:r>
              <w:rPr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8 921 342,9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8 728 349,6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8 728 352,6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26,0</w:t>
            </w:r>
          </w:p>
        </w:tc>
      </w:tr>
      <w:tr w:rsidR="00220B3F" w:rsidRPr="00FB2907" w:rsidTr="00220B3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«</w:t>
            </w:r>
            <w:r w:rsidRPr="00FB2907">
              <w:rPr>
                <w:sz w:val="20"/>
                <w:szCs w:val="20"/>
              </w:rPr>
              <w:t xml:space="preserve">Развитие молодежной политики, физической культуры и спорта в </w:t>
            </w:r>
            <w:r>
              <w:rPr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359 686,8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359 686,8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359 686,8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1,1</w:t>
            </w:r>
          </w:p>
        </w:tc>
      </w:tr>
      <w:tr w:rsidR="00220B3F" w:rsidRPr="00FB2907" w:rsidTr="00220B3F">
        <w:trPr>
          <w:trHeight w:val="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 xml:space="preserve">Развитие образования в </w:t>
            </w:r>
            <w:r>
              <w:rPr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14 014 537,9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14 560 537,0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14 452 165,2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43,0</w:t>
            </w:r>
          </w:p>
        </w:tc>
      </w:tr>
      <w:tr w:rsidR="00220B3F" w:rsidRPr="00FB2907" w:rsidTr="00220B3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 xml:space="preserve">Содействие созданию в </w:t>
            </w:r>
            <w:r>
              <w:rPr>
                <w:sz w:val="20"/>
                <w:szCs w:val="20"/>
              </w:rPr>
              <w:t>ТО</w:t>
            </w:r>
            <w:r w:rsidRPr="00FB2907">
              <w:rPr>
                <w:sz w:val="20"/>
                <w:szCs w:val="20"/>
              </w:rPr>
              <w:t xml:space="preserve"> новых мест в </w:t>
            </w:r>
            <w:r>
              <w:rPr>
                <w:sz w:val="20"/>
                <w:szCs w:val="20"/>
              </w:rPr>
              <w:t>о</w:t>
            </w:r>
            <w:r w:rsidRPr="00FB2907">
              <w:rPr>
                <w:sz w:val="20"/>
                <w:szCs w:val="20"/>
              </w:rPr>
              <w:t>бщеобразовательных организациях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iCs/>
                <w:sz w:val="20"/>
                <w:szCs w:val="20"/>
              </w:rPr>
            </w:pPr>
            <w:r w:rsidRPr="00763C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iCs/>
                <w:sz w:val="20"/>
                <w:szCs w:val="20"/>
              </w:rPr>
            </w:pPr>
            <w:r w:rsidRPr="00763C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763CB8" w:rsidRDefault="00220B3F" w:rsidP="00220B3F">
            <w:pPr>
              <w:ind w:hanging="108"/>
              <w:jc w:val="right"/>
              <w:rPr>
                <w:iCs/>
                <w:sz w:val="20"/>
                <w:szCs w:val="20"/>
              </w:rPr>
            </w:pPr>
            <w:r w:rsidRPr="00763CB8">
              <w:rPr>
                <w:iCs/>
                <w:sz w:val="20"/>
                <w:szCs w:val="20"/>
              </w:rPr>
              <w:t>0,0</w:t>
            </w:r>
          </w:p>
        </w:tc>
      </w:tr>
      <w:tr w:rsidR="00220B3F" w:rsidRPr="00FB2907" w:rsidTr="00220B3F">
        <w:trPr>
          <w:trHeight w:val="4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 xml:space="preserve">Развитие культуры и туризма в </w:t>
            </w:r>
            <w:r>
              <w:rPr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999 806,9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977 214,7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977 398,7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2,9</w:t>
            </w:r>
          </w:p>
        </w:tc>
      </w:tr>
      <w:tr w:rsidR="00220B3F" w:rsidRPr="00FB2907" w:rsidTr="00220B3F">
        <w:trPr>
          <w:trHeight w:val="5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«Социальная поддержка населения 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6 080 743,1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6 081 229,1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6 081 534,1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18,1</w:t>
            </w:r>
          </w:p>
        </w:tc>
      </w:tr>
      <w:tr w:rsidR="00220B3F" w:rsidRPr="00FB2907" w:rsidTr="00220B3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>Детство под защитой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1 889 207,1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1 889 207,1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1 889 207,1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5,6</w:t>
            </w:r>
          </w:p>
        </w:tc>
      </w:tr>
      <w:tr w:rsidR="00220B3F" w:rsidRPr="00FB2907" w:rsidTr="00220B3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>Развитие рынка труда в Томской области</w:t>
            </w:r>
            <w:r>
              <w:rPr>
                <w:sz w:val="20"/>
                <w:szCs w:val="20"/>
              </w:rPr>
              <w:t>»</w:t>
            </w:r>
            <w:r w:rsidRPr="00FB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366 631,0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366 631,3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366 631,3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1,1</w:t>
            </w:r>
          </w:p>
        </w:tc>
      </w:tr>
      <w:tr w:rsidR="00220B3F" w:rsidRPr="00FB2907" w:rsidTr="00220B3F">
        <w:trPr>
          <w:trHeight w:val="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 xml:space="preserve">Обеспечение доступности жилья и улучшение качества жилищных условий населения </w:t>
            </w:r>
            <w:r>
              <w:rPr>
                <w:sz w:val="20"/>
                <w:szCs w:val="20"/>
              </w:rPr>
              <w:t>ТО»</w:t>
            </w:r>
            <w:r w:rsidRPr="00FB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556 986,3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176 747,3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177 661,3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0,5</w:t>
            </w:r>
          </w:p>
        </w:tc>
      </w:tr>
      <w:tr w:rsidR="00220B3F" w:rsidRPr="00FB2907" w:rsidTr="00220B3F">
        <w:trPr>
          <w:trHeight w:val="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FB2907" w:rsidRDefault="00220B3F" w:rsidP="00220B3F">
            <w:pPr>
              <w:ind w:firstLine="0"/>
              <w:jc w:val="lef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 xml:space="preserve">ГП </w:t>
            </w:r>
            <w:r>
              <w:rPr>
                <w:sz w:val="20"/>
                <w:szCs w:val="20"/>
              </w:rPr>
              <w:t>«</w:t>
            </w:r>
            <w:r w:rsidRPr="00FB2907">
              <w:rPr>
                <w:sz w:val="20"/>
                <w:szCs w:val="20"/>
              </w:rPr>
              <w:t>Обес</w:t>
            </w:r>
            <w:r>
              <w:rPr>
                <w:sz w:val="20"/>
                <w:szCs w:val="20"/>
              </w:rPr>
              <w:t>печение безопасности населения 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563 215,7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563 310,7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563 411,7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FB290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FB2907">
              <w:rPr>
                <w:sz w:val="20"/>
                <w:szCs w:val="20"/>
              </w:rPr>
              <w:t>1,7</w:t>
            </w:r>
          </w:p>
        </w:tc>
      </w:tr>
    </w:tbl>
    <w:p w:rsidR="00220B3F" w:rsidRDefault="00220B3F" w:rsidP="00220B3F">
      <w:pPr>
        <w:rPr>
          <w:iCs/>
        </w:rPr>
      </w:pPr>
    </w:p>
    <w:p w:rsidR="00220B3F" w:rsidRPr="005E64DA" w:rsidRDefault="00220B3F" w:rsidP="00220B3F">
      <w:pPr>
        <w:ind w:firstLine="709"/>
        <w:rPr>
          <w:iCs/>
          <w:sz w:val="24"/>
          <w:szCs w:val="24"/>
        </w:rPr>
      </w:pPr>
      <w:r w:rsidRPr="005E64DA">
        <w:rPr>
          <w:iCs/>
          <w:sz w:val="24"/>
          <w:szCs w:val="24"/>
        </w:rPr>
        <w:t xml:space="preserve">В рамках цели «Сбалансированное территориальное развитие за счет развития инфраструктуры в Томской области» (таблица </w:t>
      </w:r>
      <w:r>
        <w:rPr>
          <w:iCs/>
          <w:sz w:val="24"/>
          <w:szCs w:val="24"/>
        </w:rPr>
        <w:t>9</w:t>
      </w:r>
      <w:r w:rsidRPr="005E64DA">
        <w:rPr>
          <w:iCs/>
          <w:sz w:val="24"/>
          <w:szCs w:val="24"/>
        </w:rPr>
        <w:t>) основная доля расходов в размере 97,0%, 97,0% и 97,1% в 2017-2019 годах соответственно приходится на ГП «Развитие транспортной системы в Томской области».</w:t>
      </w:r>
    </w:p>
    <w:p w:rsidR="00220B3F" w:rsidRPr="005E64DA" w:rsidRDefault="00220B3F" w:rsidP="00220B3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E64DA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20B3F" w:rsidRPr="005E64DA" w:rsidRDefault="00220B3F" w:rsidP="00220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DA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областного бюджета на 2017-2019 годы </w:t>
      </w:r>
    </w:p>
    <w:p w:rsidR="00220B3F" w:rsidRPr="005E64DA" w:rsidRDefault="00220B3F" w:rsidP="00220B3F">
      <w:pPr>
        <w:pStyle w:val="ConsPlusNorma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E64DA">
        <w:rPr>
          <w:rFonts w:ascii="Times New Roman" w:hAnsi="Times New Roman" w:cs="Times New Roman"/>
          <w:b/>
          <w:sz w:val="24"/>
          <w:szCs w:val="24"/>
        </w:rPr>
        <w:t>на государственные программы в разрезе стратегической цели 4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75"/>
        <w:gridCol w:w="1299"/>
        <w:gridCol w:w="1253"/>
        <w:gridCol w:w="850"/>
        <w:gridCol w:w="851"/>
        <w:gridCol w:w="850"/>
      </w:tblGrid>
      <w:tr w:rsidR="00220B3F" w:rsidRPr="004B7597" w:rsidTr="00220B3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Наименование государственной программы Томской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2017 год, тыс.руб.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2018 год, тыс.руб.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2019 год, тыс.руб.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Структура расходов, %</w:t>
            </w:r>
          </w:p>
        </w:tc>
      </w:tr>
      <w:tr w:rsidR="00220B3F" w:rsidRPr="004B7597" w:rsidTr="00220B3F">
        <w:trPr>
          <w:trHeight w:val="5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3F" w:rsidRPr="004B7597" w:rsidRDefault="00220B3F" w:rsidP="0022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B7597" w:rsidRDefault="00220B3F" w:rsidP="00220B3F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B7597" w:rsidRDefault="00220B3F" w:rsidP="00220B3F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B7597" w:rsidRDefault="00220B3F" w:rsidP="00220B3F">
            <w:pPr>
              <w:ind w:hanging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2019 год</w:t>
            </w:r>
          </w:p>
        </w:tc>
      </w:tr>
      <w:tr w:rsidR="00220B3F" w:rsidRPr="004B7597" w:rsidTr="00220B3F">
        <w:trPr>
          <w:trHeight w:val="87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B3F" w:rsidRPr="004B7597" w:rsidRDefault="00220B3F" w:rsidP="00220B3F">
            <w:pPr>
              <w:rPr>
                <w:bCs/>
                <w:color w:val="000000"/>
                <w:sz w:val="20"/>
                <w:szCs w:val="20"/>
              </w:rPr>
            </w:pPr>
            <w:r w:rsidRPr="004B7597">
              <w:rPr>
                <w:bCs/>
                <w:color w:val="000000"/>
                <w:sz w:val="20"/>
                <w:szCs w:val="20"/>
              </w:rPr>
              <w:t xml:space="preserve">Цель 4 </w:t>
            </w:r>
            <w:r w:rsidRPr="005E64DA">
              <w:rPr>
                <w:b/>
                <w:bCs/>
                <w:color w:val="000000"/>
                <w:sz w:val="20"/>
                <w:szCs w:val="20"/>
              </w:rPr>
              <w:t>«Сбалансированное территориальное развитие за счет развития инфраструктуры в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7597">
              <w:rPr>
                <w:b/>
                <w:bCs/>
                <w:color w:val="000000"/>
                <w:sz w:val="20"/>
                <w:szCs w:val="20"/>
              </w:rPr>
              <w:t>3 247 723,0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7597">
              <w:rPr>
                <w:b/>
                <w:bCs/>
                <w:color w:val="000000"/>
                <w:sz w:val="20"/>
                <w:szCs w:val="20"/>
              </w:rPr>
              <w:t>3 228 798,0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7597">
              <w:rPr>
                <w:b/>
                <w:bCs/>
                <w:color w:val="000000"/>
                <w:sz w:val="20"/>
                <w:szCs w:val="20"/>
              </w:rPr>
              <w:t>3 358 178,0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4B759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4B759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4B759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20B3F" w:rsidRPr="004B7597" w:rsidTr="00220B3F">
        <w:trPr>
          <w:trHeight w:val="3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B7597">
              <w:rPr>
                <w:color w:val="000000"/>
                <w:sz w:val="20"/>
                <w:szCs w:val="20"/>
              </w:rPr>
              <w:t xml:space="preserve">Развитие транспортной системы в </w:t>
            </w:r>
            <w:r>
              <w:rPr>
                <w:color w:val="000000"/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3 151 458,3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3 132 533,3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3 261 913,3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97,1</w:t>
            </w:r>
          </w:p>
        </w:tc>
      </w:tr>
      <w:tr w:rsidR="00220B3F" w:rsidRPr="004B7597" w:rsidTr="00220B3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B7597">
              <w:rPr>
                <w:color w:val="000000"/>
                <w:sz w:val="20"/>
                <w:szCs w:val="20"/>
              </w:rPr>
              <w:t xml:space="preserve">Развитие коммунальной и коммуникационной инфраструктуры в </w:t>
            </w:r>
            <w:r>
              <w:rPr>
                <w:color w:val="000000"/>
                <w:sz w:val="20"/>
                <w:szCs w:val="20"/>
              </w:rPr>
              <w:t>ТО»</w:t>
            </w:r>
            <w:r w:rsidRPr="004B75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88 644,7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88 644,7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88 644,7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2,6</w:t>
            </w:r>
          </w:p>
        </w:tc>
      </w:tr>
      <w:tr w:rsidR="00220B3F" w:rsidRPr="004B7597" w:rsidTr="00220B3F">
        <w:trPr>
          <w:trHeight w:val="4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B7597">
              <w:rPr>
                <w:color w:val="000000"/>
                <w:sz w:val="20"/>
                <w:szCs w:val="20"/>
              </w:rPr>
              <w:t xml:space="preserve">Повышение энергоэффективности в </w:t>
            </w:r>
            <w:r>
              <w:rPr>
                <w:color w:val="000000"/>
                <w:sz w:val="20"/>
                <w:szCs w:val="20"/>
              </w:rPr>
              <w:t>ТО»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7 620,0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7 620,0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7 620,0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right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0,2</w:t>
            </w:r>
          </w:p>
        </w:tc>
      </w:tr>
    </w:tbl>
    <w:p w:rsidR="00220B3F" w:rsidRDefault="00220B3F" w:rsidP="00220B3F">
      <w:pPr>
        <w:ind w:firstLine="709"/>
        <w:rPr>
          <w:iCs/>
        </w:rPr>
      </w:pPr>
    </w:p>
    <w:p w:rsidR="00220B3F" w:rsidRPr="00194333" w:rsidRDefault="00220B3F" w:rsidP="00220B3F">
      <w:pPr>
        <w:ind w:firstLine="709"/>
        <w:rPr>
          <w:iCs/>
          <w:sz w:val="24"/>
          <w:szCs w:val="24"/>
        </w:rPr>
      </w:pPr>
      <w:r w:rsidRPr="00194333">
        <w:rPr>
          <w:iCs/>
          <w:sz w:val="24"/>
          <w:szCs w:val="24"/>
        </w:rPr>
        <w:t xml:space="preserve">В рамках цели «Эффективное управление регионом» (таблица </w:t>
      </w:r>
      <w:r>
        <w:rPr>
          <w:iCs/>
          <w:sz w:val="24"/>
          <w:szCs w:val="24"/>
        </w:rPr>
        <w:t>10</w:t>
      </w:r>
      <w:r w:rsidRPr="00194333">
        <w:rPr>
          <w:iCs/>
          <w:sz w:val="24"/>
          <w:szCs w:val="24"/>
        </w:rPr>
        <w:t>) основная доля расходов в размере 89,6%, 93,2% и 93,4% в 2017-2019 годах соответственно приходится на ГП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:rsidR="00220B3F" w:rsidRPr="00194333" w:rsidRDefault="00220B3F" w:rsidP="00220B3F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94333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20B3F" w:rsidRPr="00194333" w:rsidRDefault="00220B3F" w:rsidP="00220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33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областного бюджета на 2017-2019 годы </w:t>
      </w:r>
    </w:p>
    <w:p w:rsidR="00220B3F" w:rsidRPr="00194333" w:rsidRDefault="00220B3F" w:rsidP="00220B3F">
      <w:pPr>
        <w:pStyle w:val="ConsPlusNorma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94333">
        <w:rPr>
          <w:rFonts w:ascii="Times New Roman" w:hAnsi="Times New Roman" w:cs="Times New Roman"/>
          <w:b/>
          <w:sz w:val="24"/>
          <w:szCs w:val="24"/>
        </w:rPr>
        <w:t>на государственные программы в разрезе стратегической цели 5</w:t>
      </w:r>
    </w:p>
    <w:p w:rsidR="00220B3F" w:rsidRPr="00054D9B" w:rsidRDefault="00220B3F" w:rsidP="00220B3F">
      <w:pPr>
        <w:ind w:firstLine="709"/>
        <w:rPr>
          <w:iCs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1275"/>
        <w:gridCol w:w="1418"/>
        <w:gridCol w:w="850"/>
        <w:gridCol w:w="851"/>
        <w:gridCol w:w="850"/>
      </w:tblGrid>
      <w:tr w:rsidR="00220B3F" w:rsidRPr="004B7597" w:rsidTr="00220B3F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Наименование государственной программы Томской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2017 год, тыс.руб.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2018 год, тыс.руб.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D0DAC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D0DAC">
              <w:rPr>
                <w:color w:val="000000"/>
                <w:sz w:val="20"/>
                <w:szCs w:val="20"/>
              </w:rPr>
              <w:t>Проект на 2019 год, тыс.руб.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B3F" w:rsidRPr="001E6A70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Структура расходов, %</w:t>
            </w:r>
          </w:p>
        </w:tc>
      </w:tr>
      <w:tr w:rsidR="00220B3F" w:rsidRPr="004B7597" w:rsidTr="00220B3F">
        <w:trPr>
          <w:trHeight w:val="51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3F" w:rsidRPr="004B7597" w:rsidRDefault="00220B3F" w:rsidP="0022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1E6A70">
              <w:rPr>
                <w:sz w:val="20"/>
                <w:szCs w:val="20"/>
              </w:rPr>
              <w:t>Проект на 2017 год</w:t>
            </w:r>
          </w:p>
        </w:tc>
      </w:tr>
      <w:tr w:rsidR="00220B3F" w:rsidRPr="004B7597" w:rsidTr="00220B3F">
        <w:trPr>
          <w:trHeight w:val="6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B3F" w:rsidRPr="004B7597" w:rsidRDefault="00220B3F" w:rsidP="00220B3F">
            <w:pPr>
              <w:ind w:firstLine="333"/>
              <w:jc w:val="left"/>
              <w:rPr>
                <w:bCs/>
                <w:color w:val="000000"/>
                <w:sz w:val="20"/>
                <w:szCs w:val="20"/>
              </w:rPr>
            </w:pPr>
            <w:r w:rsidRPr="004B7597">
              <w:rPr>
                <w:bCs/>
                <w:color w:val="000000"/>
                <w:sz w:val="20"/>
                <w:szCs w:val="20"/>
              </w:rPr>
              <w:t xml:space="preserve">Цель </w:t>
            </w:r>
            <w:r w:rsidRPr="00800BC7">
              <w:rPr>
                <w:bCs/>
                <w:color w:val="000000"/>
                <w:sz w:val="20"/>
                <w:szCs w:val="20"/>
              </w:rPr>
              <w:t>5</w:t>
            </w:r>
            <w:r w:rsidRPr="004B7597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194333">
              <w:rPr>
                <w:b/>
                <w:bCs/>
                <w:color w:val="000000"/>
                <w:sz w:val="20"/>
                <w:szCs w:val="20"/>
              </w:rPr>
              <w:t>Эффективное управление регионом»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597">
              <w:rPr>
                <w:b/>
                <w:bCs/>
                <w:color w:val="000000"/>
                <w:sz w:val="20"/>
                <w:szCs w:val="20"/>
              </w:rPr>
              <w:t>7 904 909,5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597">
              <w:rPr>
                <w:b/>
                <w:bCs/>
                <w:color w:val="000000"/>
                <w:sz w:val="20"/>
                <w:szCs w:val="20"/>
              </w:rPr>
              <w:t>12 079 356,4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597">
              <w:rPr>
                <w:b/>
                <w:bCs/>
                <w:color w:val="000000"/>
                <w:sz w:val="20"/>
                <w:szCs w:val="20"/>
              </w:rPr>
              <w:t>12 416 135,4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4B759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4B759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4B759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20B3F" w:rsidRPr="004B7597" w:rsidTr="00220B3F">
        <w:trPr>
          <w:trHeight w:val="4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B7597">
              <w:rPr>
                <w:color w:val="000000"/>
                <w:sz w:val="20"/>
                <w:szCs w:val="20"/>
              </w:rPr>
              <w:t xml:space="preserve">Развитие информационного общества в </w:t>
            </w:r>
            <w:r>
              <w:rPr>
                <w:color w:val="000000"/>
                <w:sz w:val="20"/>
                <w:szCs w:val="20"/>
              </w:rPr>
              <w:t>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369 660,7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369 912,7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370 181,7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3,0</w:t>
            </w:r>
          </w:p>
        </w:tc>
      </w:tr>
      <w:tr w:rsidR="00220B3F" w:rsidRPr="00800BC7" w:rsidTr="00220B3F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B7597">
              <w:rPr>
                <w:color w:val="000000"/>
                <w:sz w:val="20"/>
                <w:szCs w:val="20"/>
              </w:rPr>
              <w:t xml:space="preserve">Эффективное управление региональными финансами, государственными закупками и совершенствование межбюджетных отношений в </w:t>
            </w:r>
            <w:r>
              <w:rPr>
                <w:color w:val="000000"/>
                <w:sz w:val="20"/>
                <w:szCs w:val="20"/>
              </w:rPr>
              <w:t>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7 080 382,3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11 256 521,2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11 593 031,2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93,4</w:t>
            </w:r>
          </w:p>
        </w:tc>
      </w:tr>
      <w:tr w:rsidR="00220B3F" w:rsidRPr="004B7597" w:rsidTr="00220B3F">
        <w:trPr>
          <w:trHeight w:val="3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B7597">
              <w:rPr>
                <w:color w:val="000000"/>
                <w:sz w:val="20"/>
                <w:szCs w:val="20"/>
              </w:rPr>
              <w:t xml:space="preserve">Эффективное управление государственным имуществом </w:t>
            </w:r>
            <w:r>
              <w:rPr>
                <w:color w:val="000000"/>
                <w:sz w:val="20"/>
                <w:szCs w:val="20"/>
              </w:rPr>
              <w:t>ТО»</w:t>
            </w:r>
            <w:r w:rsidRPr="004B75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86 372,9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86 372,9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86 372,9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0,7</w:t>
            </w:r>
          </w:p>
        </w:tc>
      </w:tr>
      <w:tr w:rsidR="00220B3F" w:rsidRPr="004B7597" w:rsidTr="00220B3F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3F" w:rsidRPr="004B7597" w:rsidRDefault="00220B3F" w:rsidP="00220B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B7597">
              <w:rPr>
                <w:color w:val="000000"/>
                <w:sz w:val="20"/>
                <w:szCs w:val="20"/>
              </w:rPr>
              <w:t>Повышение эффективности регионального и муниципального 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4B75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368 493,6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366 549,6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B7597">
              <w:rPr>
                <w:color w:val="000000"/>
                <w:sz w:val="20"/>
                <w:szCs w:val="20"/>
              </w:rPr>
              <w:t>366 549,6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B3F" w:rsidRPr="004B7597" w:rsidRDefault="00220B3F" w:rsidP="00220B3F">
            <w:pPr>
              <w:ind w:hanging="108"/>
              <w:jc w:val="center"/>
              <w:rPr>
                <w:sz w:val="20"/>
                <w:szCs w:val="20"/>
              </w:rPr>
            </w:pPr>
            <w:r w:rsidRPr="004B7597">
              <w:rPr>
                <w:sz w:val="20"/>
                <w:szCs w:val="20"/>
              </w:rPr>
              <w:t>3,0</w:t>
            </w:r>
          </w:p>
        </w:tc>
      </w:tr>
    </w:tbl>
    <w:p w:rsidR="00220B3F" w:rsidRPr="00267DC8" w:rsidRDefault="00220B3F" w:rsidP="00220B3F">
      <w:pPr>
        <w:ind w:firstLine="709"/>
        <w:rPr>
          <w:iCs/>
        </w:rPr>
      </w:pPr>
    </w:p>
    <w:p w:rsidR="00220B3F" w:rsidRPr="001459A8" w:rsidRDefault="00220B3F" w:rsidP="00220B3F">
      <w:pPr>
        <w:ind w:firstLine="709"/>
        <w:rPr>
          <w:sz w:val="24"/>
          <w:szCs w:val="24"/>
        </w:rPr>
      </w:pPr>
      <w:r w:rsidRPr="001459A8">
        <w:rPr>
          <w:sz w:val="24"/>
          <w:szCs w:val="24"/>
        </w:rPr>
        <w:t>В составе материалов и документов к законопроекту представлены проекты 23-х паспортов государственных программ Томской области, предлагаемых к финансированию из областного бюджета на 2017 год и на плановый период 2018 и 2019</w:t>
      </w:r>
      <w:r>
        <w:rPr>
          <w:sz w:val="24"/>
          <w:szCs w:val="24"/>
        </w:rPr>
        <w:t xml:space="preserve"> годов</w:t>
      </w:r>
      <w:r w:rsidRPr="001459A8">
        <w:rPr>
          <w:sz w:val="24"/>
          <w:szCs w:val="24"/>
        </w:rPr>
        <w:t>. Обобщенные сведения об объемах финансирования госпрограмм Томской области в 2017-2019 годах в разрезе всех источников финансирования представлены в приложении 7 к Прогнозу социально-экономического развития Томской области на 2017 год и на плановый период 2018-2019 годов и полностью соответствуют объемам финансирования госпрограмм по всем источникам, отраженным в проектах паспортов ГП.</w:t>
      </w:r>
    </w:p>
    <w:p w:rsidR="00220B3F" w:rsidRPr="001459A8" w:rsidRDefault="00220B3F" w:rsidP="00220B3F">
      <w:pPr>
        <w:ind w:firstLine="709"/>
        <w:rPr>
          <w:sz w:val="24"/>
          <w:szCs w:val="24"/>
        </w:rPr>
      </w:pPr>
      <w:r w:rsidRPr="001459A8">
        <w:rPr>
          <w:sz w:val="24"/>
          <w:szCs w:val="24"/>
        </w:rPr>
        <w:t xml:space="preserve">Общие объемы финансирования государственных программ за счет средств областного бюджета на 2017-2019 годы, предусмотренные проектами паспортов ГП, соответствуют общим объемам бюджетных </w:t>
      </w:r>
      <w:r>
        <w:rPr>
          <w:sz w:val="24"/>
          <w:szCs w:val="24"/>
        </w:rPr>
        <w:t>ассигнований, представленным в П</w:t>
      </w:r>
      <w:r w:rsidRPr="001459A8">
        <w:rPr>
          <w:sz w:val="24"/>
          <w:szCs w:val="24"/>
        </w:rPr>
        <w:t>риложениях 13 и 13.1 к законопроекту, а также информации, отраженной в табличной части об объемах бюджетных ассигнований из областного бюджета, запланированных на реализацию госпрограмм в 2017-2019 годах (раздел 1 «Программные расходы областного бюджета» пояснительной записки к законопроекту).</w:t>
      </w:r>
    </w:p>
    <w:p w:rsidR="00220B3F" w:rsidRPr="001459A8" w:rsidRDefault="00220B3F" w:rsidP="00220B3F">
      <w:pPr>
        <w:ind w:firstLine="709"/>
        <w:rPr>
          <w:bCs/>
          <w:sz w:val="24"/>
          <w:szCs w:val="24"/>
        </w:rPr>
      </w:pPr>
      <w:r w:rsidRPr="001459A8">
        <w:rPr>
          <w:bCs/>
          <w:sz w:val="24"/>
          <w:szCs w:val="24"/>
        </w:rPr>
        <w:t>Из 23-х государственных программ по трем программам (ГП «Улучшение инвестиционного климата и укрепление международных и межрегиональных связей Томской области», ГП «Развитие информационного общества в Томской области» - с 2016 года, ГП «Эффективное управление государственным имуществом Томской области») финансирование предусмотрено исключительно за счет средств областного бюджета на весь период их реализации.</w:t>
      </w:r>
    </w:p>
    <w:p w:rsidR="00220B3F" w:rsidRPr="001459A8" w:rsidRDefault="00220B3F" w:rsidP="00220B3F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Согласно П</w:t>
      </w:r>
      <w:r w:rsidRPr="001459A8">
        <w:rPr>
          <w:bCs/>
          <w:sz w:val="24"/>
          <w:szCs w:val="24"/>
        </w:rPr>
        <w:t>риложению 13 к законопроекту в</w:t>
      </w:r>
      <w:r w:rsidRPr="001459A8">
        <w:rPr>
          <w:sz w:val="24"/>
          <w:szCs w:val="24"/>
        </w:rPr>
        <w:t xml:space="preserve"> составе госпрограмм предусмотрено финансирование </w:t>
      </w:r>
      <w:r w:rsidRPr="00437D02">
        <w:rPr>
          <w:b/>
          <w:sz w:val="24"/>
          <w:szCs w:val="24"/>
        </w:rPr>
        <w:t>81</w:t>
      </w:r>
      <w:r w:rsidRPr="001459A8">
        <w:rPr>
          <w:sz w:val="24"/>
          <w:szCs w:val="24"/>
        </w:rPr>
        <w:t xml:space="preserve"> подпрограммы (в т.ч. 18 обеспечивающих подпрограмм), однако проектами паспортов предусмотрена реализация </w:t>
      </w:r>
      <w:r w:rsidRPr="00437D02">
        <w:rPr>
          <w:b/>
          <w:sz w:val="24"/>
          <w:szCs w:val="24"/>
        </w:rPr>
        <w:t>95</w:t>
      </w:r>
      <w:r w:rsidRPr="001459A8">
        <w:rPr>
          <w:sz w:val="24"/>
          <w:szCs w:val="24"/>
        </w:rPr>
        <w:t xml:space="preserve"> подпрограмм (в т.ч. 18 обеспечивающих подпрограмм). Информации о причинах невключения в законопроект 14 подпрограмм (по 9 государственным программам) в материалах к законопроекту не содержится.</w:t>
      </w:r>
    </w:p>
    <w:p w:rsidR="00220B3F" w:rsidRPr="001459A8" w:rsidRDefault="00220B3F" w:rsidP="00220B3F">
      <w:pPr>
        <w:ind w:firstLine="709"/>
        <w:rPr>
          <w:sz w:val="24"/>
          <w:szCs w:val="24"/>
        </w:rPr>
      </w:pPr>
      <w:r w:rsidRPr="001459A8">
        <w:rPr>
          <w:sz w:val="24"/>
          <w:szCs w:val="24"/>
        </w:rPr>
        <w:t xml:space="preserve">Анализом проектов паспортов </w:t>
      </w:r>
      <w:r>
        <w:rPr>
          <w:sz w:val="24"/>
          <w:szCs w:val="24"/>
        </w:rPr>
        <w:t xml:space="preserve">ГП </w:t>
      </w:r>
      <w:r w:rsidRPr="001459A8">
        <w:rPr>
          <w:sz w:val="24"/>
          <w:szCs w:val="24"/>
        </w:rPr>
        <w:t>установлены многочисленные изменения основных параметров госпрограмм в проектах паспортов в сравнении с утвержденными параметрами паспортов последних редакций госпрограмм по состоянию на 01.10.2016 года.</w:t>
      </w:r>
      <w:r>
        <w:rPr>
          <w:sz w:val="24"/>
          <w:szCs w:val="24"/>
        </w:rPr>
        <w:t xml:space="preserve"> Так, п</w:t>
      </w:r>
      <w:r w:rsidRPr="001459A8">
        <w:rPr>
          <w:sz w:val="24"/>
          <w:szCs w:val="24"/>
        </w:rPr>
        <w:t>редлагается внести изменения в состав п</w:t>
      </w:r>
      <w:r>
        <w:rPr>
          <w:sz w:val="24"/>
          <w:szCs w:val="24"/>
        </w:rPr>
        <w:t>оказателей (</w:t>
      </w:r>
      <w:r w:rsidRPr="001459A8">
        <w:rPr>
          <w:sz w:val="24"/>
          <w:szCs w:val="24"/>
        </w:rPr>
        <w:t>включены новые целевые показатели), значения</w:t>
      </w:r>
      <w:r>
        <w:rPr>
          <w:sz w:val="24"/>
          <w:szCs w:val="24"/>
        </w:rPr>
        <w:t xml:space="preserve"> целевых показателей (сокращены </w:t>
      </w:r>
      <w:r w:rsidRPr="001459A8">
        <w:rPr>
          <w:sz w:val="24"/>
          <w:szCs w:val="24"/>
        </w:rPr>
        <w:t xml:space="preserve">/ увеличены), </w:t>
      </w:r>
      <w:r>
        <w:rPr>
          <w:sz w:val="24"/>
          <w:szCs w:val="24"/>
        </w:rPr>
        <w:t>в состав задач и подпрограмм</w:t>
      </w:r>
      <w:r w:rsidRPr="001459A8">
        <w:rPr>
          <w:sz w:val="24"/>
          <w:szCs w:val="24"/>
        </w:rPr>
        <w:t>, а также в объемы финансирования ГП, при этом в ряде проектов паспортов госпрограмм до сих пор указаны оценочные значения целевых показателей на 2014 и 2015 годы, требующие уточнения и замены их на фактические значения.</w:t>
      </w:r>
    </w:p>
    <w:p w:rsidR="00220B3F" w:rsidRDefault="00220B3F" w:rsidP="00220B3F"/>
    <w:p w:rsidR="00220B3F" w:rsidRPr="00694E16" w:rsidRDefault="00220B3F" w:rsidP="00220B3F">
      <w:pPr>
        <w:rPr>
          <w:b/>
          <w:sz w:val="24"/>
          <w:szCs w:val="24"/>
        </w:rPr>
      </w:pPr>
      <w:r>
        <w:tab/>
      </w:r>
      <w:r w:rsidRPr="00694E16">
        <w:rPr>
          <w:sz w:val="24"/>
          <w:szCs w:val="24"/>
        </w:rPr>
        <w:t>Вместе с материалами к законопроекту представлен отчет о реализации государственных программ Томской области за I полугодие 2016 года, подготовленный Департаментом экономики на основе отчетов ответственных исполнителей, сформированных в АИС «БИС-СБОР» по формам № 1 и № 4 приложения № 5 к Порядку</w:t>
      </w:r>
      <w:r w:rsidRPr="00694E16">
        <w:rPr>
          <w:iCs/>
          <w:sz w:val="24"/>
          <w:szCs w:val="24"/>
        </w:rPr>
        <w:t xml:space="preserve"> принятия решений о разработке государственных программ Томской области, их формирования и реализации, утвержденному постановлением Администрации Томской области от 03.04.2014 № 119а (далее – Порядок № 119а)</w:t>
      </w:r>
      <w:r w:rsidRPr="00694E16">
        <w:rPr>
          <w:sz w:val="24"/>
          <w:szCs w:val="24"/>
        </w:rPr>
        <w:t>.</w:t>
      </w:r>
    </w:p>
    <w:p w:rsidR="00220B3F" w:rsidRPr="00694E16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 xml:space="preserve">Анализ использования бюджетных средств и достижения результатов реализации государственных программ в 1 полугодии 2016 года проведен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Pr="00694E16">
        <w:rPr>
          <w:rFonts w:ascii="Times New Roman" w:hAnsi="Times New Roman" w:cs="Times New Roman"/>
          <w:sz w:val="24"/>
          <w:szCs w:val="24"/>
        </w:rPr>
        <w:t xml:space="preserve">на основе отчетов ответственных исполнителей, сформированных в АИС «БИС-СБОР», </w:t>
      </w:r>
      <w:r w:rsidRPr="00694E16">
        <w:rPr>
          <w:rFonts w:ascii="Times New Roman" w:hAnsi="Times New Roman" w:cs="Times New Roman"/>
          <w:iCs/>
          <w:sz w:val="24"/>
          <w:szCs w:val="24"/>
        </w:rPr>
        <w:t xml:space="preserve">а также информации, указанной в докладе </w:t>
      </w:r>
      <w:r w:rsidRPr="00694E16">
        <w:rPr>
          <w:rFonts w:ascii="Times New Roman" w:hAnsi="Times New Roman" w:cs="Times New Roman"/>
          <w:sz w:val="24"/>
          <w:szCs w:val="24"/>
        </w:rPr>
        <w:t xml:space="preserve">Департамента экономики </w:t>
      </w:r>
      <w:r w:rsidRPr="00694E16">
        <w:rPr>
          <w:rFonts w:ascii="Times New Roman" w:hAnsi="Times New Roman" w:cs="Times New Roman"/>
          <w:iCs/>
          <w:sz w:val="24"/>
          <w:szCs w:val="24"/>
        </w:rPr>
        <w:t xml:space="preserve">о реализации государственных программ Томской области за 1-ое полугодие 2016 года, представленной в </w:t>
      </w:r>
      <w:r w:rsidRPr="00694E16">
        <w:rPr>
          <w:rFonts w:ascii="Times New Roman" w:hAnsi="Times New Roman" w:cs="Times New Roman"/>
          <w:sz w:val="24"/>
          <w:szCs w:val="24"/>
        </w:rPr>
        <w:t>материалах к законопроекту в виде отчета (далее - доклад)</w:t>
      </w:r>
      <w:r w:rsidRPr="00694E16">
        <w:rPr>
          <w:rFonts w:ascii="Times New Roman" w:hAnsi="Times New Roman" w:cs="Times New Roman"/>
          <w:iCs/>
          <w:sz w:val="24"/>
          <w:szCs w:val="24"/>
        </w:rPr>
        <w:t>.</w:t>
      </w:r>
    </w:p>
    <w:p w:rsidR="00220B3F" w:rsidRPr="00694E16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 xml:space="preserve">Доклад Департамента экономики полностью повторил структуру и содержание аналогичного документа по итогам 6 месяцев 2015 года. В отчете содержится информация об исполнении государственных программ за </w:t>
      </w:r>
      <w:r w:rsidRPr="00694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4E16">
        <w:rPr>
          <w:rFonts w:ascii="Times New Roman" w:hAnsi="Times New Roman" w:cs="Times New Roman"/>
          <w:sz w:val="24"/>
          <w:szCs w:val="24"/>
        </w:rPr>
        <w:t xml:space="preserve"> полугодие 2016 года без увязки влияния финансовых результатов исполнения 24-х государственных программ на достижение целевых программных показателей</w:t>
      </w:r>
      <w:r w:rsidRPr="00694E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0B3F" w:rsidRPr="006B17CD" w:rsidRDefault="00220B3F" w:rsidP="00220B3F">
      <w:pPr>
        <w:ind w:firstLine="709"/>
        <w:rPr>
          <w:sz w:val="24"/>
          <w:szCs w:val="24"/>
        </w:rPr>
      </w:pPr>
      <w:r w:rsidRPr="00694E16">
        <w:rPr>
          <w:sz w:val="24"/>
          <w:szCs w:val="24"/>
        </w:rPr>
        <w:t>Анализом редакций госпрограмм по состоянию на 01.07.2016 установлено внесение многочисленных изменений в государственные программы в течение полугодия в части объемов финансирования, состава и значений целевых показателей ГП и подп</w:t>
      </w:r>
      <w:r>
        <w:rPr>
          <w:sz w:val="24"/>
          <w:szCs w:val="24"/>
        </w:rPr>
        <w:t>рограмм ГП, состава подпрограмм</w:t>
      </w:r>
      <w:r w:rsidRPr="00694E16">
        <w:rPr>
          <w:sz w:val="24"/>
          <w:szCs w:val="24"/>
        </w:rPr>
        <w:t xml:space="preserve">, основных мероприятий (ВЦП), мероприятий ГП, затрагивающих основные параметры госпрограмм. При этом </w:t>
      </w:r>
      <w:r w:rsidRPr="00694E16">
        <w:rPr>
          <w:rFonts w:eastAsia="Calibri"/>
          <w:sz w:val="24"/>
          <w:szCs w:val="24"/>
        </w:rPr>
        <w:t xml:space="preserve">п. 33 Порядка № 119а, регламентирующим изменения в государственные программы в течение финансового года, </w:t>
      </w:r>
      <w:r w:rsidRPr="00694E16">
        <w:rPr>
          <w:sz w:val="24"/>
          <w:szCs w:val="24"/>
        </w:rPr>
        <w:t>не предусмотрены положения, предполагающие возможность внесения указанных изменений в действующие государственные программы Томской области в течение финансового года.</w:t>
      </w:r>
      <w:r>
        <w:rPr>
          <w:sz w:val="24"/>
          <w:szCs w:val="24"/>
        </w:rPr>
        <w:t xml:space="preserve"> </w:t>
      </w:r>
      <w:r w:rsidRPr="00694E16">
        <w:rPr>
          <w:sz w:val="24"/>
          <w:szCs w:val="24"/>
        </w:rPr>
        <w:t>Данный недостаток нормативного регулирования был указан палатой в заключении по результатам проведения экспертизы государственной программы «Обеспечение безопасности населения Томской области», но до настоящего времени не устранен.</w:t>
      </w:r>
      <w:r>
        <w:rPr>
          <w:sz w:val="24"/>
          <w:szCs w:val="24"/>
        </w:rPr>
        <w:t xml:space="preserve"> При этом </w:t>
      </w:r>
      <w:r w:rsidRPr="00694E16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694E16">
        <w:rPr>
          <w:sz w:val="24"/>
          <w:szCs w:val="24"/>
        </w:rPr>
        <w:t xml:space="preserve"> Томской области «Об областном бюджете на 2016 год и на плановый период 2017 и 2018 годов» предусмотрены случаи корректировки госпрограмм в целях приведения в соответствие с действующим законом об областном бюджете</w:t>
      </w:r>
      <w:r>
        <w:rPr>
          <w:sz w:val="24"/>
          <w:szCs w:val="24"/>
        </w:rPr>
        <w:t xml:space="preserve"> (ст.21-1)</w:t>
      </w:r>
      <w:r w:rsidRPr="00694E16">
        <w:rPr>
          <w:sz w:val="24"/>
          <w:szCs w:val="24"/>
        </w:rPr>
        <w:t>.</w:t>
      </w:r>
    </w:p>
    <w:p w:rsidR="00220B3F" w:rsidRPr="00694E16" w:rsidRDefault="00220B3F" w:rsidP="00220B3F">
      <w:pPr>
        <w:ind w:firstLine="709"/>
        <w:rPr>
          <w:sz w:val="24"/>
          <w:szCs w:val="24"/>
        </w:rPr>
      </w:pPr>
      <w:r w:rsidRPr="00694E16">
        <w:rPr>
          <w:sz w:val="24"/>
          <w:szCs w:val="24"/>
        </w:rPr>
        <w:t>В паспортах четырех действующих госпрограмм («Развитие предпринимательства в Томской области», «Воспроизводство и использование природных ресурсов Томской области», «Развитие рынка труда в Томской области» и «</w:t>
      </w:r>
      <w:r w:rsidRPr="00694E16">
        <w:rPr>
          <w:rFonts w:eastAsia="Calibri"/>
          <w:sz w:val="24"/>
          <w:szCs w:val="24"/>
        </w:rPr>
        <w:t>Содействие созданию в Томской области новых мест в общеобразовательных организациях</w:t>
      </w:r>
      <w:r w:rsidRPr="00694E16">
        <w:rPr>
          <w:sz w:val="24"/>
          <w:szCs w:val="24"/>
        </w:rPr>
        <w:t>») отмечено отсутствие единообразного подхода к отражению объема и источников финансирования (с детализацией по годам реализации).</w:t>
      </w:r>
    </w:p>
    <w:p w:rsidR="00220B3F" w:rsidRPr="00694E16" w:rsidRDefault="00220B3F" w:rsidP="00220B3F">
      <w:pPr>
        <w:ind w:firstLine="709"/>
        <w:rPr>
          <w:sz w:val="24"/>
          <w:szCs w:val="24"/>
        </w:rPr>
      </w:pPr>
      <w:r w:rsidRPr="00694E16">
        <w:rPr>
          <w:sz w:val="24"/>
          <w:szCs w:val="24"/>
        </w:rPr>
        <w:t>При сравнении</w:t>
      </w:r>
      <w:r w:rsidRPr="00694E16">
        <w:rPr>
          <w:b/>
          <w:sz w:val="24"/>
          <w:szCs w:val="24"/>
        </w:rPr>
        <w:t xml:space="preserve"> </w:t>
      </w:r>
      <w:r w:rsidRPr="00694E16">
        <w:rPr>
          <w:sz w:val="24"/>
          <w:szCs w:val="24"/>
        </w:rPr>
        <w:t xml:space="preserve">отчетов ответственных исполнителей из АИС «БИС-СБОР» и доклада Департамента экономики о ходе реализации государственных программ Томской области по состоянию на 1 июля 2016 года </w:t>
      </w:r>
      <w:r w:rsidRPr="00B02F38">
        <w:rPr>
          <w:b/>
          <w:sz w:val="24"/>
          <w:szCs w:val="24"/>
        </w:rPr>
        <w:t>подтверждена сопоставимость данных только по 8 программам из 24</w:t>
      </w:r>
      <w:r w:rsidRPr="00694E16">
        <w:rPr>
          <w:sz w:val="24"/>
          <w:szCs w:val="24"/>
        </w:rPr>
        <w:t>, в т.ч.: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4E16">
        <w:rPr>
          <w:sz w:val="24"/>
          <w:szCs w:val="24"/>
        </w:rPr>
        <w:t xml:space="preserve"> ГП «</w:t>
      </w:r>
      <w:r w:rsidRPr="00694E16">
        <w:rPr>
          <w:rFonts w:eastAsia="Calibri"/>
          <w:sz w:val="24"/>
          <w:szCs w:val="24"/>
        </w:rPr>
        <w:t>Развитие инновационной деятельности и науки в Томской области»;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 w:rsidRPr="00694E16">
        <w:rPr>
          <w:rFonts w:eastAsia="Calibri"/>
          <w:sz w:val="24"/>
          <w:szCs w:val="24"/>
        </w:rPr>
        <w:t xml:space="preserve">- </w:t>
      </w:r>
      <w:r w:rsidRPr="00694E16">
        <w:rPr>
          <w:sz w:val="24"/>
          <w:szCs w:val="24"/>
        </w:rPr>
        <w:t>ГП</w:t>
      </w:r>
      <w:r w:rsidRPr="00694E16">
        <w:rPr>
          <w:rFonts w:eastAsia="Calibri"/>
          <w:sz w:val="24"/>
          <w:szCs w:val="24"/>
        </w:rPr>
        <w:t xml:space="preserve"> «Развитие предпринимательства в Томской области»;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694E16">
        <w:rPr>
          <w:sz w:val="24"/>
          <w:szCs w:val="24"/>
        </w:rPr>
        <w:t>ГП</w:t>
      </w:r>
      <w:r w:rsidRPr="00694E16">
        <w:rPr>
          <w:rFonts w:eastAsia="Calibri"/>
          <w:sz w:val="24"/>
          <w:szCs w:val="24"/>
        </w:rPr>
        <w:t xml:space="preserve"> «Совершенствование механизмов управления экономическим развитием Томской области»;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 w:rsidRPr="00694E16">
        <w:rPr>
          <w:rFonts w:eastAsia="Calibri"/>
          <w:sz w:val="24"/>
          <w:szCs w:val="24"/>
        </w:rPr>
        <w:t xml:space="preserve">- </w:t>
      </w:r>
      <w:r w:rsidRPr="00694E16">
        <w:rPr>
          <w:sz w:val="24"/>
          <w:szCs w:val="24"/>
        </w:rPr>
        <w:t>ГП</w:t>
      </w:r>
      <w:r w:rsidRPr="00694E16">
        <w:rPr>
          <w:rFonts w:eastAsia="Calibri"/>
          <w:sz w:val="24"/>
          <w:szCs w:val="24"/>
        </w:rPr>
        <w:t xml:space="preserve"> «Воспроизводство и использование природных ресурсов Томской области»;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 w:rsidRPr="00694E16">
        <w:rPr>
          <w:rFonts w:eastAsia="Calibri"/>
          <w:sz w:val="24"/>
          <w:szCs w:val="24"/>
        </w:rPr>
        <w:t xml:space="preserve">- </w:t>
      </w:r>
      <w:r w:rsidRPr="00694E16">
        <w:rPr>
          <w:sz w:val="24"/>
          <w:szCs w:val="24"/>
        </w:rPr>
        <w:t>ГП</w:t>
      </w:r>
      <w:r w:rsidRPr="00694E16">
        <w:rPr>
          <w:rFonts w:eastAsia="Calibri"/>
          <w:sz w:val="24"/>
          <w:szCs w:val="24"/>
        </w:rPr>
        <w:t xml:space="preserve"> «Развитие промышленного использования возобновляемых природных ресурсов Томской области»;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 w:rsidRPr="00694E16">
        <w:rPr>
          <w:rFonts w:eastAsia="Calibri"/>
          <w:sz w:val="24"/>
          <w:szCs w:val="24"/>
        </w:rPr>
        <w:t xml:space="preserve">- </w:t>
      </w:r>
      <w:r w:rsidRPr="00694E16">
        <w:rPr>
          <w:sz w:val="24"/>
          <w:szCs w:val="24"/>
        </w:rPr>
        <w:t xml:space="preserve">ГП </w:t>
      </w:r>
      <w:r w:rsidRPr="00694E16">
        <w:rPr>
          <w:rFonts w:eastAsia="Calibri"/>
          <w:sz w:val="24"/>
          <w:szCs w:val="24"/>
        </w:rPr>
        <w:t>«Развитие информационного общества в Томской области»;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Pr="00694E16">
        <w:rPr>
          <w:sz w:val="24"/>
          <w:szCs w:val="24"/>
        </w:rPr>
        <w:t>ГП</w:t>
      </w:r>
      <w:r w:rsidRPr="00694E16">
        <w:rPr>
          <w:rFonts w:eastAsia="Calibri"/>
          <w:sz w:val="24"/>
          <w:szCs w:val="24"/>
        </w:rPr>
        <w:t xml:space="preserve"> «Эффективное управление государственным имуществом Томской области»;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 w:rsidRPr="00694E16">
        <w:rPr>
          <w:rFonts w:eastAsia="Calibri"/>
          <w:sz w:val="24"/>
          <w:szCs w:val="24"/>
        </w:rPr>
        <w:t xml:space="preserve">- </w:t>
      </w:r>
      <w:r w:rsidRPr="00694E16">
        <w:rPr>
          <w:sz w:val="24"/>
          <w:szCs w:val="24"/>
        </w:rPr>
        <w:t>ГП</w:t>
      </w:r>
      <w:r w:rsidRPr="00694E16">
        <w:rPr>
          <w:rFonts w:eastAsia="Calibri"/>
          <w:sz w:val="24"/>
          <w:szCs w:val="24"/>
        </w:rPr>
        <w:t xml:space="preserve"> «Повышение эффективности регионального и муниципального управления».</w:t>
      </w:r>
    </w:p>
    <w:p w:rsidR="00220B3F" w:rsidRPr="00694E16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 xml:space="preserve">Второй год </w:t>
      </w:r>
      <w:r w:rsidRPr="00B02F38">
        <w:rPr>
          <w:rFonts w:ascii="Times New Roman" w:hAnsi="Times New Roman" w:cs="Times New Roman"/>
          <w:sz w:val="24"/>
          <w:szCs w:val="24"/>
        </w:rPr>
        <w:t>отмечается неотражение</w:t>
      </w:r>
      <w:r w:rsidRPr="00694E16">
        <w:rPr>
          <w:rFonts w:ascii="Times New Roman" w:hAnsi="Times New Roman" w:cs="Times New Roman"/>
          <w:sz w:val="24"/>
          <w:szCs w:val="24"/>
        </w:rPr>
        <w:t xml:space="preserve"> в отчетах ответственных исполнителей информации о причинах недофинансирования мероприятий и мер их нейтрализации (минимизации), предусмотренных формой отчета в случае, если уровень финансирования мероприятий за счет средств областного и федерального бюджетов по итогам первого полугодия составил менее 25%.</w:t>
      </w:r>
    </w:p>
    <w:p w:rsidR="00220B3F" w:rsidRPr="00694E16" w:rsidRDefault="00220B3F" w:rsidP="00220B3F">
      <w:pPr>
        <w:ind w:firstLine="709"/>
        <w:rPr>
          <w:rFonts w:eastAsia="Calibri"/>
          <w:sz w:val="24"/>
          <w:szCs w:val="24"/>
        </w:rPr>
      </w:pPr>
      <w:r w:rsidRPr="00694E16">
        <w:rPr>
          <w:rFonts w:eastAsia="Calibri"/>
          <w:sz w:val="24"/>
          <w:szCs w:val="24"/>
        </w:rPr>
        <w:t>Так</w:t>
      </w:r>
      <w:r>
        <w:rPr>
          <w:rFonts w:eastAsia="Calibri"/>
          <w:sz w:val="24"/>
          <w:szCs w:val="24"/>
        </w:rPr>
        <w:t>,</w:t>
      </w:r>
      <w:r w:rsidRPr="00694E16">
        <w:rPr>
          <w:rFonts w:eastAsia="Calibri"/>
          <w:sz w:val="24"/>
          <w:szCs w:val="24"/>
        </w:rPr>
        <w:t xml:space="preserve"> по восьми госпрограммам, имеющим исполнение менее 25% (данные Департамента экономики), в отчетах </w:t>
      </w:r>
      <w:r w:rsidRPr="00694E16">
        <w:rPr>
          <w:sz w:val="24"/>
          <w:szCs w:val="24"/>
        </w:rPr>
        <w:t xml:space="preserve">ответственных исполнителей </w:t>
      </w:r>
      <w:r w:rsidRPr="00694E16">
        <w:rPr>
          <w:rFonts w:eastAsia="Calibri"/>
          <w:sz w:val="24"/>
          <w:szCs w:val="24"/>
        </w:rPr>
        <w:t xml:space="preserve">отсутствует необходимая информация, в т.ч.: </w:t>
      </w:r>
    </w:p>
    <w:p w:rsidR="00220B3F" w:rsidRPr="00694E16" w:rsidRDefault="00220B3F" w:rsidP="00220B3F">
      <w:pPr>
        <w:rPr>
          <w:sz w:val="24"/>
          <w:szCs w:val="24"/>
        </w:rPr>
      </w:pPr>
      <w:r w:rsidRPr="00694E16">
        <w:rPr>
          <w:sz w:val="24"/>
          <w:szCs w:val="24"/>
        </w:rPr>
        <w:t>- ГП «Улучшение инвестиционного климата и укрепление международных и межрегиональных связей Томской области» (исполнение 1,2 %);</w:t>
      </w:r>
    </w:p>
    <w:p w:rsidR="00220B3F" w:rsidRPr="00694E16" w:rsidRDefault="00220B3F" w:rsidP="00220B3F">
      <w:pPr>
        <w:rPr>
          <w:sz w:val="24"/>
          <w:szCs w:val="24"/>
        </w:rPr>
      </w:pPr>
      <w:r w:rsidRPr="00694E16">
        <w:rPr>
          <w:sz w:val="24"/>
          <w:szCs w:val="24"/>
        </w:rPr>
        <w:t>- ГП «Развитие предпринимательства в Томской области» (исполнение 14,5 %;</w:t>
      </w:r>
    </w:p>
    <w:p w:rsidR="00220B3F" w:rsidRPr="00694E16" w:rsidRDefault="00220B3F" w:rsidP="00220B3F">
      <w:pPr>
        <w:rPr>
          <w:sz w:val="24"/>
          <w:szCs w:val="24"/>
        </w:rPr>
      </w:pPr>
      <w:r w:rsidRPr="00694E16">
        <w:rPr>
          <w:sz w:val="24"/>
          <w:szCs w:val="24"/>
        </w:rPr>
        <w:t>- ГП «Развитие промышленного использования возобновляемых природных ресурсов Томской области» (исполнение 13,9 %);</w:t>
      </w:r>
    </w:p>
    <w:p w:rsidR="00220B3F" w:rsidRPr="00694E16" w:rsidRDefault="00220B3F" w:rsidP="00220B3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4E16">
        <w:rPr>
          <w:sz w:val="24"/>
          <w:szCs w:val="24"/>
        </w:rPr>
        <w:t>ГП «Содействие созданию в Томской области новых мест в общеобразовательных организациях» (исполнение 0,0 %);</w:t>
      </w:r>
    </w:p>
    <w:p w:rsidR="00220B3F" w:rsidRPr="00694E16" w:rsidRDefault="00220B3F" w:rsidP="00220B3F">
      <w:pPr>
        <w:pStyle w:val="ConsPlusNormal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>- ГП «Обеспечение доступности жилья и улучшение качества жилищных условий населения Томской области» (исполнение 17,9 %);</w:t>
      </w:r>
    </w:p>
    <w:p w:rsidR="00220B3F" w:rsidRPr="00694E16" w:rsidRDefault="00220B3F" w:rsidP="00220B3F">
      <w:pPr>
        <w:pStyle w:val="ConsPlusNormal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>- ГП «Развитие транспортной системы в Томской области» (исполнение 22,4 %);</w:t>
      </w:r>
    </w:p>
    <w:p w:rsidR="00220B3F" w:rsidRPr="00694E16" w:rsidRDefault="00220B3F" w:rsidP="00220B3F">
      <w:pPr>
        <w:pStyle w:val="ConsPlusNormal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>- ГП «Развитие коммунальной и коммуникационной инфраструктуры в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(исполнение 4,9 %);</w:t>
      </w:r>
    </w:p>
    <w:p w:rsidR="00220B3F" w:rsidRPr="00694E16" w:rsidRDefault="00220B3F" w:rsidP="00220B3F">
      <w:pPr>
        <w:pStyle w:val="ConsPlusNormal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>- ГП «Повышение энергоэффективности в Томской области» (исполнение 2,3 %).</w:t>
      </w:r>
    </w:p>
    <w:p w:rsidR="00220B3F" w:rsidRPr="00D75074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Следует отметить, что данные отчетов об исполнении ГП ряда ответственных исполнителей, размещенных в АИС «БИС-СБОР», несколько отличаются от данных Департамента экономики, в том числе:</w:t>
      </w:r>
    </w:p>
    <w:p w:rsidR="00220B3F" w:rsidRPr="00D75074" w:rsidRDefault="00220B3F" w:rsidP="00220B3F">
      <w:pPr>
        <w:ind w:firstLine="709"/>
        <w:rPr>
          <w:sz w:val="24"/>
          <w:szCs w:val="24"/>
        </w:rPr>
      </w:pPr>
      <w:r w:rsidRPr="00D75074">
        <w:rPr>
          <w:sz w:val="24"/>
          <w:szCs w:val="24"/>
        </w:rPr>
        <w:t>- по ГП «Улучшение инвестиционного климата и укрепление международных и межрегиональных связей Томской области» - 99,9%;</w:t>
      </w:r>
    </w:p>
    <w:p w:rsidR="00220B3F" w:rsidRPr="00D75074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- по ГП «Обеспечение доступности жилья и улучшение качества жилищных условий населения Томской области» - 17,2%;</w:t>
      </w:r>
    </w:p>
    <w:p w:rsidR="00220B3F" w:rsidRPr="00D75074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- по ГП «Развитие транспортной системы в Томской области» - 18,7%;</w:t>
      </w:r>
    </w:p>
    <w:p w:rsidR="00220B3F" w:rsidRPr="00D75074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- по ГП «Развитие коммунальной и коммуникационной инфраструктуры в Томской области» - 1,8%.</w:t>
      </w:r>
    </w:p>
    <w:p w:rsidR="00220B3F" w:rsidRPr="00D75074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5074">
        <w:rPr>
          <w:rFonts w:ascii="Times New Roman" w:hAnsi="Times New Roman" w:cs="Times New Roman"/>
          <w:iCs/>
          <w:sz w:val="24"/>
          <w:szCs w:val="24"/>
        </w:rPr>
        <w:t xml:space="preserve">Основной причиной представленной </w:t>
      </w:r>
      <w:r w:rsidRPr="00D75074">
        <w:rPr>
          <w:rFonts w:ascii="Times New Roman" w:hAnsi="Times New Roman" w:cs="Times New Roman"/>
          <w:sz w:val="24"/>
          <w:szCs w:val="24"/>
        </w:rPr>
        <w:t>несопоставимости данных отчетов ответственных исполнителей об объемах финансирования госпрограмм со сведениями, отраженными в докладе Департамента экономики, а также самостоятельно полученными Контрольно-счетной палатой, является предусмотренный графой 4 формы № 1 приложения № 5 к Порядку № 119а</w:t>
      </w:r>
      <w:r w:rsidRPr="00D75074">
        <w:rPr>
          <w:rFonts w:ascii="Times New Roman" w:hAnsi="Times New Roman" w:cs="Times New Roman"/>
          <w:iCs/>
          <w:sz w:val="24"/>
          <w:szCs w:val="24"/>
        </w:rPr>
        <w:t xml:space="preserve"> способ отражения информации </w:t>
      </w:r>
      <w:r w:rsidRPr="00D75074">
        <w:rPr>
          <w:rFonts w:ascii="Times New Roman" w:hAnsi="Times New Roman" w:cs="Times New Roman"/>
          <w:sz w:val="24"/>
          <w:szCs w:val="24"/>
        </w:rPr>
        <w:t>о плановых объемах финансирования ГП</w:t>
      </w:r>
      <w:r w:rsidRPr="00D75074">
        <w:rPr>
          <w:rFonts w:ascii="Times New Roman" w:hAnsi="Times New Roman" w:cs="Times New Roman"/>
          <w:iCs/>
          <w:sz w:val="24"/>
          <w:szCs w:val="24"/>
        </w:rPr>
        <w:t xml:space="preserve"> за счет всех источников: в графе 4 «Плановый объем финансирования ГП за счет всех источников» суммируются плановые объемы </w:t>
      </w:r>
      <w:r w:rsidRPr="00D75074">
        <w:rPr>
          <w:rFonts w:ascii="Times New Roman" w:hAnsi="Times New Roman" w:cs="Times New Roman"/>
          <w:sz w:val="24"/>
          <w:szCs w:val="24"/>
        </w:rPr>
        <w:t>по сводной бюджетной росписи федеральных средств, поступающих в областной бюджет (графа 13), плановые объемы средств, поступающих напрямую получателям на счета, открытые в кредитных организациях или в Федеральном казначействе РФ (графа 15), плановые объемы средств областного бюджета по сводной бюджетной росписи (графа 20), плановые объемы средств из местных бюджетов, предусмотренные государственной программой (в соответствии с НПА государственной программы) (графа 25) и плановые объемы средств за счет внебюджетных источников, также предусмотренные государственной программой (в соответствии с НПА государственной программы) (графа 27).</w:t>
      </w:r>
    </w:p>
    <w:p w:rsidR="00220B3F" w:rsidRPr="00D75074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5074">
        <w:rPr>
          <w:rFonts w:ascii="Times New Roman" w:hAnsi="Times New Roman" w:cs="Times New Roman"/>
          <w:iCs/>
          <w:sz w:val="24"/>
          <w:szCs w:val="24"/>
        </w:rPr>
        <w:t xml:space="preserve">Таким образом, в итоговую графу 4, показывающую плановый объем финансирования ГП за счет всех источников наряду с </w:t>
      </w:r>
      <w:r w:rsidRPr="00D75074">
        <w:rPr>
          <w:rFonts w:ascii="Times New Roman" w:hAnsi="Times New Roman" w:cs="Times New Roman"/>
          <w:sz w:val="24"/>
          <w:szCs w:val="24"/>
        </w:rPr>
        <w:t>плановыми объемами средств из местных бюджетов и внебюджетных источников, предусмотренными государственной программой,</w:t>
      </w:r>
      <w:r w:rsidRPr="00D75074">
        <w:rPr>
          <w:rFonts w:ascii="Times New Roman" w:hAnsi="Times New Roman" w:cs="Times New Roman"/>
          <w:iCs/>
          <w:sz w:val="24"/>
          <w:szCs w:val="24"/>
        </w:rPr>
        <w:t xml:space="preserve"> попадают объемы </w:t>
      </w:r>
      <w:r w:rsidRPr="00D75074">
        <w:rPr>
          <w:rFonts w:ascii="Times New Roman" w:hAnsi="Times New Roman" w:cs="Times New Roman"/>
          <w:sz w:val="24"/>
          <w:szCs w:val="24"/>
        </w:rPr>
        <w:t>федеральных</w:t>
      </w:r>
      <w:r w:rsidRPr="00D75074">
        <w:rPr>
          <w:rFonts w:ascii="Times New Roman" w:hAnsi="Times New Roman" w:cs="Times New Roman"/>
          <w:iCs/>
          <w:sz w:val="24"/>
          <w:szCs w:val="24"/>
        </w:rPr>
        <w:t xml:space="preserve"> и областных средств, утвержденные </w:t>
      </w:r>
      <w:r w:rsidRPr="00D75074">
        <w:rPr>
          <w:rFonts w:ascii="Times New Roman" w:hAnsi="Times New Roman" w:cs="Times New Roman"/>
          <w:sz w:val="24"/>
          <w:szCs w:val="24"/>
        </w:rPr>
        <w:t>сводной бюджетной росписью</w:t>
      </w:r>
      <w:r w:rsidRPr="00D75074">
        <w:rPr>
          <w:rFonts w:ascii="Times New Roman" w:hAnsi="Times New Roman" w:cs="Times New Roman"/>
          <w:iCs/>
          <w:sz w:val="24"/>
          <w:szCs w:val="24"/>
        </w:rPr>
        <w:t xml:space="preserve">, которые часто отличаются от </w:t>
      </w:r>
      <w:r w:rsidRPr="00D75074">
        <w:rPr>
          <w:rFonts w:ascii="Times New Roman" w:hAnsi="Times New Roman" w:cs="Times New Roman"/>
          <w:sz w:val="24"/>
          <w:szCs w:val="24"/>
        </w:rPr>
        <w:t xml:space="preserve">плановых объемов средств за счет федерального и областного бюджетов, предусмотренных на этот же период государственной программой. Такую особенность форма № 1 приобрела в редакции Порядка № 119а от 01.07.2015, при этом в редакции Порядка № 119а от 05.05.2015 в графе 4 формы № 1 отражались </w:t>
      </w:r>
      <w:r w:rsidRPr="00D75074">
        <w:rPr>
          <w:rFonts w:ascii="Times New Roman" w:hAnsi="Times New Roman" w:cs="Times New Roman"/>
          <w:iCs/>
          <w:sz w:val="24"/>
          <w:szCs w:val="24"/>
        </w:rPr>
        <w:t>плановые объемы финансирования за счет всех источников, предусмотренные только государственной программой.</w:t>
      </w:r>
    </w:p>
    <w:p w:rsidR="00220B3F" w:rsidRPr="00D75074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5074">
        <w:rPr>
          <w:rFonts w:ascii="Times New Roman" w:hAnsi="Times New Roman" w:cs="Times New Roman"/>
          <w:sz w:val="24"/>
          <w:szCs w:val="24"/>
        </w:rPr>
        <w:t>По причине внесения некорректных изменений в форму № 1 приложения № 5 к Порядку № 119а в редакции от 05.05.2015 и возникла указанная несопоставимость данных в связи с использованием ответственными исполнителями данных для отчета из разных источников: частично</w:t>
      </w:r>
      <w:r w:rsidR="004E4A90">
        <w:rPr>
          <w:rFonts w:ascii="Times New Roman" w:hAnsi="Times New Roman" w:cs="Times New Roman"/>
          <w:sz w:val="24"/>
          <w:szCs w:val="24"/>
        </w:rPr>
        <w:t xml:space="preserve"> -</w:t>
      </w:r>
      <w:r w:rsidRPr="00D75074">
        <w:rPr>
          <w:rFonts w:ascii="Times New Roman" w:hAnsi="Times New Roman" w:cs="Times New Roman"/>
          <w:sz w:val="24"/>
          <w:szCs w:val="24"/>
        </w:rPr>
        <w:t xml:space="preserve"> из паспортов утвержденных государственных программ, частично </w:t>
      </w:r>
      <w:r w:rsidR="004E4A90">
        <w:rPr>
          <w:rFonts w:ascii="Times New Roman" w:hAnsi="Times New Roman" w:cs="Times New Roman"/>
          <w:sz w:val="24"/>
          <w:szCs w:val="24"/>
        </w:rPr>
        <w:t xml:space="preserve">- </w:t>
      </w:r>
      <w:r w:rsidRPr="00D75074">
        <w:rPr>
          <w:rFonts w:ascii="Times New Roman" w:hAnsi="Times New Roman" w:cs="Times New Roman"/>
          <w:sz w:val="24"/>
          <w:szCs w:val="24"/>
        </w:rPr>
        <w:t>из плана по сводной бюджетной росписи, возможно и другими способами.</w:t>
      </w:r>
    </w:p>
    <w:p w:rsidR="00220B3F" w:rsidRPr="00D75074" w:rsidRDefault="004E4A90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</w:t>
      </w:r>
      <w:r w:rsidR="00220B3F" w:rsidRPr="00D75074">
        <w:rPr>
          <w:rFonts w:ascii="Times New Roman" w:hAnsi="Times New Roman" w:cs="Times New Roman"/>
          <w:sz w:val="24"/>
          <w:szCs w:val="24"/>
        </w:rPr>
        <w:t xml:space="preserve"> в целях формирования достоверной и актуальной информации в докладе Департамента экономики о финансировании госпрограмм на основе ежеквартальных и годовых отчетов ответственных исполнителей, в том числе с использованием АИС «БИС-СБОР», а также обеспечения сопоставимости данных разных отчетов при сверке соотносимых параметров, </w:t>
      </w:r>
      <w:r w:rsidR="00220B3F" w:rsidRPr="00D75074">
        <w:rPr>
          <w:rFonts w:ascii="Times New Roman" w:hAnsi="Times New Roman" w:cs="Times New Roman"/>
          <w:b/>
          <w:sz w:val="24"/>
          <w:szCs w:val="24"/>
        </w:rPr>
        <w:t>необходимо определить корректный способ отражения</w:t>
      </w:r>
      <w:r w:rsidR="00220B3F" w:rsidRPr="00D75074">
        <w:rPr>
          <w:rFonts w:ascii="Times New Roman" w:hAnsi="Times New Roman" w:cs="Times New Roman"/>
          <w:sz w:val="24"/>
          <w:szCs w:val="24"/>
        </w:rPr>
        <w:t xml:space="preserve"> в отчетах ответственных исполнителей по форме № 1 приложения № 5 к Порядку № 119а информации о</w:t>
      </w:r>
      <w:r w:rsidR="00220B3F" w:rsidRPr="00D75074">
        <w:rPr>
          <w:rFonts w:ascii="Times New Roman" w:hAnsi="Times New Roman" w:cs="Times New Roman"/>
          <w:iCs/>
          <w:sz w:val="24"/>
          <w:szCs w:val="24"/>
        </w:rPr>
        <w:t xml:space="preserve"> плановых объемах финансирования ГП за счет всех источников, а также </w:t>
      </w:r>
      <w:r w:rsidR="00220B3F" w:rsidRPr="00D75074">
        <w:rPr>
          <w:rFonts w:ascii="Times New Roman" w:hAnsi="Times New Roman" w:cs="Times New Roman"/>
          <w:sz w:val="24"/>
          <w:szCs w:val="24"/>
        </w:rPr>
        <w:t>причин недофинансирования мероприятий за счет всех источников финансирования.</w:t>
      </w:r>
    </w:p>
    <w:p w:rsidR="00220B3F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B3F" w:rsidRPr="00694E16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 xml:space="preserve">Анализом мероприятий госпрограмм отмечено дублирование в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694E16">
        <w:rPr>
          <w:rFonts w:ascii="Times New Roman" w:hAnsi="Times New Roman" w:cs="Times New Roman"/>
          <w:sz w:val="24"/>
          <w:szCs w:val="24"/>
        </w:rPr>
        <w:t xml:space="preserve"> «Развитие образования в Томской области» и </w:t>
      </w:r>
      <w:r>
        <w:rPr>
          <w:rFonts w:ascii="Times New Roman" w:hAnsi="Times New Roman" w:cs="Times New Roman"/>
          <w:sz w:val="24"/>
          <w:szCs w:val="24"/>
        </w:rPr>
        <w:t xml:space="preserve">ГП </w:t>
      </w:r>
      <w:r w:rsidRPr="00694E16">
        <w:rPr>
          <w:rFonts w:ascii="Times New Roman" w:hAnsi="Times New Roman" w:cs="Times New Roman"/>
          <w:sz w:val="24"/>
          <w:szCs w:val="24"/>
        </w:rPr>
        <w:t>«Содействие созданию в Томской области новых мест в общеобразовательных организациях» мероприятия «Общеобразовательная организация на 1100 мест по ул. Дизайнеров, 4 в г. Томске» с объемом финансирования на 2016 год - в сумме 183 145,7 тыс.руб., на 2017 год - в сумме 988 154,3 тыс.руб., а также включение в данные госпрограммы одного объекта «Моряковская школа-интернат для детей…» для выполнения разного вида работ (строительство, реконструкция, капитальный ремонт).</w:t>
      </w:r>
    </w:p>
    <w:p w:rsidR="00220B3F" w:rsidRPr="00694E16" w:rsidRDefault="00220B3F" w:rsidP="00220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16">
        <w:rPr>
          <w:rFonts w:ascii="Times New Roman" w:hAnsi="Times New Roman" w:cs="Times New Roman"/>
          <w:sz w:val="24"/>
          <w:szCs w:val="24"/>
        </w:rPr>
        <w:t>Ввиду того, что ответственные исполнители являются ответственными за реализацию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4E16">
        <w:rPr>
          <w:rFonts w:ascii="Times New Roman" w:hAnsi="Times New Roman" w:cs="Times New Roman"/>
          <w:sz w:val="24"/>
          <w:szCs w:val="24"/>
        </w:rPr>
        <w:t xml:space="preserve"> при формировании доклада Департамента экономики о ходе реализации государственных программ Томской области за полугодие </w:t>
      </w:r>
      <w:r w:rsidRPr="00304BB5">
        <w:rPr>
          <w:rFonts w:ascii="Times New Roman" w:hAnsi="Times New Roman" w:cs="Times New Roman"/>
          <w:b/>
          <w:sz w:val="24"/>
          <w:szCs w:val="24"/>
        </w:rPr>
        <w:t>целесообразно увязывать произведенные на ГП расходы и результаты их реализации с ответственными исполнителями</w:t>
      </w:r>
      <w:r w:rsidRPr="00694E16">
        <w:rPr>
          <w:rFonts w:ascii="Times New Roman" w:hAnsi="Times New Roman" w:cs="Times New Roman"/>
          <w:sz w:val="24"/>
          <w:szCs w:val="24"/>
        </w:rPr>
        <w:t xml:space="preserve">, что позволит повысить информативность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694E16">
        <w:rPr>
          <w:rFonts w:ascii="Times New Roman" w:hAnsi="Times New Roman" w:cs="Times New Roman"/>
          <w:sz w:val="24"/>
          <w:szCs w:val="24"/>
        </w:rPr>
        <w:t>документа.</w:t>
      </w:r>
    </w:p>
    <w:p w:rsidR="00220B3F" w:rsidRDefault="00220B3F" w:rsidP="00220B3F">
      <w:pPr>
        <w:widowControl/>
        <w:tabs>
          <w:tab w:val="left" w:pos="720"/>
        </w:tabs>
        <w:ind w:firstLine="0"/>
        <w:rPr>
          <w:b/>
          <w:i/>
          <w:color w:val="000000"/>
          <w:sz w:val="24"/>
          <w:szCs w:val="24"/>
          <w:lang w:eastAsia="ru-RU"/>
        </w:rPr>
      </w:pPr>
      <w:r w:rsidRPr="002A2A35">
        <w:rPr>
          <w:b/>
          <w:i/>
          <w:color w:val="000000"/>
          <w:sz w:val="24"/>
          <w:szCs w:val="24"/>
          <w:lang w:eastAsia="ru-RU"/>
        </w:rPr>
        <w:tab/>
      </w:r>
    </w:p>
    <w:p w:rsidR="00220B3F" w:rsidRPr="0013558B" w:rsidRDefault="00220B3F" w:rsidP="00220B3F">
      <w:pPr>
        <w:tabs>
          <w:tab w:val="left" w:pos="720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="005C60B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13558B">
        <w:rPr>
          <w:b/>
          <w:sz w:val="24"/>
          <w:szCs w:val="24"/>
        </w:rPr>
        <w:t>Анализ формирования расходов на реализацию государственных программ</w:t>
      </w:r>
    </w:p>
    <w:p w:rsidR="00220B3F" w:rsidRPr="0013558B" w:rsidRDefault="00220B3F" w:rsidP="00220B3F">
      <w:pPr>
        <w:ind w:firstLine="709"/>
        <w:rPr>
          <w:b/>
          <w:sz w:val="24"/>
          <w:szCs w:val="24"/>
        </w:rPr>
      </w:pPr>
    </w:p>
    <w:p w:rsidR="00220B3F" w:rsidRDefault="00220B3F" w:rsidP="00220B3F">
      <w:pPr>
        <w:ind w:firstLine="720"/>
        <w:rPr>
          <w:b/>
          <w:sz w:val="24"/>
          <w:szCs w:val="24"/>
        </w:rPr>
      </w:pPr>
      <w:r w:rsidRPr="0013558B">
        <w:rPr>
          <w:b/>
          <w:sz w:val="24"/>
          <w:szCs w:val="24"/>
        </w:rPr>
        <w:t>Государственная программа «Улучшение инвестиционного климата и укрепление международных и межрегиональных связей Томской области» (далее – ГП-1)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Согласно паспорту ГП-1 ответственным исполнителем, соисполнителем и участником ГП-1 является Департамент инвестиций Томской области. Кроме того, соисполнителем и участником ГП-1 выступает Департамент международных и региональных связей Администрации Томской области. Цель ГП-1 – создание благоприятного инвестиционного климата и укрепление международных и межрегиональных связей Томской области  – достигается путем решения 2 задач: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«Формирование благоприятного инвестиционного климата на территории Томской области» (в рамках реализации подпрограммы с одноименным наименованием по ВЦП «Повышение инвестиционной привлекательности Томской области»);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«Укрепление международных и региональных связей Томской области» (в рамках подпрограммы «Укрепление международных и региональных связей Томской области и привлечение лучшей мировой практики» по ВЦП «Развитие внешних связей Томской области»).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Законопроектом на 2017 год в рамках реализации ГП-1 запланированы расходы  областного бюджета в объеме 1 425 857,3 тыс.руб. (80,1% к уровню текущего года), из них: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- 1 392 533,1 тыс.руб.  (79,7% к уровню текущего года) – на подпрограмму «Формирование благоприятного инвестиционного климата на территории Томской области» (на 2018-2019 годы – в целом на реализацию ГП-1 по 60 857,3 тыс.руб. или 3,4% к объему 2016 года, из них на указанную подпрограмму – 27 533,1 тыс.руб. или 1,6% к объему 2016 года);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- 14 394 тыс.руб. (на уровне текущего года) – на подпрограмму «Укрепление международных и региональных связей Томской области и привлечение лучшей мировой практики» (2018-2019 годы – в таком же объеме);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- 18 930,2 тыс. руб. (на уровне текущего года) – на обеспечивающую подпрограмму (2018-2019 годы – в таком же объеме).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Ведомственной целевой программой Департамента инвестиций «Повышение инвестиционной привлекательности Томской области», входящей в состав подпрограммы «Формирование благоприятного инвестиционного климата на территории Томской области», на 2017-2019 годы предусмотрено  финансирование следующих мероприятий: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организация коммуникативных мероприятий, направленных на повышение инвестиционной привлекательности Томской области</w:t>
      </w:r>
      <w:r w:rsidR="004B535B">
        <w:rPr>
          <w:sz w:val="24"/>
          <w:szCs w:val="24"/>
        </w:rPr>
        <w:t xml:space="preserve">, </w:t>
      </w:r>
      <w:r w:rsidRPr="0013558B">
        <w:rPr>
          <w:sz w:val="24"/>
          <w:szCs w:val="24"/>
        </w:rPr>
        <w:t xml:space="preserve"> - ежегодно на сумму 4 533,1 тыс.руб. (на уровне текущего года);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субсидии на возмещение части затрат в связи с производством (реализацией) товаров, выполнением работ, оказанием услуг в рамках реализации инвестиционных проектов</w:t>
      </w:r>
      <w:r w:rsidR="004B535B">
        <w:rPr>
          <w:sz w:val="24"/>
          <w:szCs w:val="24"/>
        </w:rPr>
        <w:t xml:space="preserve">, </w:t>
      </w:r>
      <w:r w:rsidRPr="0013558B">
        <w:rPr>
          <w:sz w:val="24"/>
          <w:szCs w:val="24"/>
        </w:rPr>
        <w:t xml:space="preserve"> - ежегодно в сумме 23 000 тыс.руб. (на уровне текущего года), в рамках реализации крупных инвестиционных проектов - на 2017 год в сумме 1 365 000 тыс.руб. (79,4% от объема 2016 года), на 2018-2019 г.г. субсидии не запланированы.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Объемы прогнозных расходов областного бюджета на реализацию ГП-1 приведены без обоснований.</w:t>
      </w: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 xml:space="preserve">По результатам анализа дополнительно запрошенных документов у ответственного исполнителя госпрограммы отметим, что сумма планируемых на 2017 год расходов на организацию коммуникативных мероприятий определена исходя из предполагаемого состава работ и изучения рыночных предложений по: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информационному обеспечению субъектов инвестиционной деятельности  и потенциальных инвесторов посредством Инвестиционного портала Томской области (техническое и языковое сопровождение портала, модернизация главной страницы, продвижение портала в сети Интернет) – в объеме 1 500 тыс. руб. на 2017 год (108,5% к уровню текущего года с учетом изменений, внесенных в ВЦП приказом Департамента инвестиций от 22.08.2016 № 31) и по 1 600 тыс.руб. на 2018-2019 годы (с учетом увеличения рыночной стоимости и объема работ по сопровождению и продвижению портала);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маркетингу инвестиционного потенциала (подготовка презентационных и информационных материалов об инвестиционном климате, инвестиционных возможностях и предложениях Томской области, мерах господдержки инвесторов, проведение мероприятий, семинаров, тематических круглых столов по вопросам взаимного сотрудничества между бизнесом, органами государственной власти и местного самоуправления, расширению практики государственно-частного партнерства) - 1 033,1 тыс.руб. ежегодно (на уровне текущего года);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обеспечению благоприятного инвестиционного климата в Томской области путем реализации требований Стандарта деятельности органов исполнительной власти субъекта РФ по обеспечению благоприятного инвестиционного климата в регионе и внедрения лучших муниципальных практик ведения инвестиционной деятельности (проведение семинаров, разработка регионального сборника лучших управленческих практик и методических материалов, продвижение на рынке преимуществ размещения производств в промышленном парке) –1 800 тыс. руб. на 2017 год, 1 700 тыс.руб. ежегодно – в 2018-2019 годах;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организации проверки достоверности сведений, предоставляемых инвесторами при получении государственной поддержки (с привлечением экспертов в определенных отраслях и сферах производства)</w:t>
      </w:r>
      <w:r w:rsidR="004B535B">
        <w:rPr>
          <w:sz w:val="24"/>
          <w:szCs w:val="24"/>
        </w:rPr>
        <w:t xml:space="preserve">, </w:t>
      </w:r>
      <w:r w:rsidRPr="0013558B">
        <w:rPr>
          <w:sz w:val="24"/>
          <w:szCs w:val="24"/>
        </w:rPr>
        <w:t xml:space="preserve"> – 200 тыс.руб. ежегодно.  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Финансирование расходов на государственную поддержку субъектов инвестиционной деятельности в форме субсидирования на возмещение части затрат в соответствии с постановлением Администрации Томской области от 22.02.2008 № 27а «О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проектов» запланировано Департаментом инвестиций  на 2017-2019 годы в объеме 23 000 тыс.руб. ежегодно (на уровне текущего года)</w:t>
      </w:r>
      <w:r w:rsidR="004B535B">
        <w:rPr>
          <w:sz w:val="24"/>
          <w:szCs w:val="24"/>
        </w:rPr>
        <w:t>,</w:t>
      </w:r>
      <w:r w:rsidRPr="0013558B">
        <w:rPr>
          <w:sz w:val="24"/>
          <w:szCs w:val="24"/>
        </w:rPr>
        <w:t xml:space="preserve"> исходя из расходных обязательств по инвестиционным проектам, включенным в Реестр инвестиционных проектов Томской области на данный момент на основании соответствующих распоряжений Губернатора Томской области, а также с учетом возникновения новых расходных обязательств по вновь включаемым в Реестр инвестиционным проектам, в том числе по заявлениям от инвесторов на господдержку в форме субсидий, находящимся в настоящее время на рассмотрении, а именно: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по инвестиционным проектам, зарегистрированным в Реестре инвестиционных проектов Томской области в соответствии с распоряжениями Губернатора Томской области «О государственной поддержке инвестиционных проектов»: на 2017 год - в общей сумме 13 000 тыс.руб. (7 получателей), 2018 год – 10 300 тыс.руб. (5 получателей), 2019 год – 6 100 тыс. руб. (4 получателя);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по рассматриваемым заявлениям на господдержку: на 2017 год – 5 000 тыс.руб. (3 получателя), 2018 и 2019 годы – соответственно 500 тыс.руб. и 300 тыс. руб. (1 получатель);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планируемые новые расходные обязательства по инвестиционным проектам (при отсутствии должных обоснований): 2017 год – 5 000 тыс.руб., 2018 год – 12 200 тыс.руб., 2019 год – 16 600 тыс.руб. Согласно собственным суждениям ответственного исполнителя ГП-1, в пределах доведенных объемов бюджетных ассигнований в зависимости от размера субсидируемых затрат по инвестиционным проектам возможно поддержать до 5 новых инвестиционных проектов ежегодно. </w:t>
      </w:r>
    </w:p>
    <w:p w:rsidR="00220B3F" w:rsidRPr="00D751E4" w:rsidRDefault="00220B3F" w:rsidP="00220B3F">
      <w:pPr>
        <w:ind w:firstLine="709"/>
        <w:rPr>
          <w:b/>
          <w:sz w:val="24"/>
          <w:szCs w:val="24"/>
        </w:rPr>
      </w:pPr>
      <w:r w:rsidRPr="0013558B">
        <w:rPr>
          <w:sz w:val="24"/>
          <w:szCs w:val="24"/>
        </w:rPr>
        <w:t>Фактически за 9 месяцев текущего года субсидии по инвестиционным проектам, зарегистрированным в Реестре инвестиционных проектов Томской области в соответствии с распоряжениями Губернатора Томской области «О государственной поддержке инвестиционных проектов», предоставлены на с</w:t>
      </w:r>
      <w:r>
        <w:rPr>
          <w:sz w:val="24"/>
          <w:szCs w:val="24"/>
        </w:rPr>
        <w:t>умму 11 574,5 тыс. руб. или 50</w:t>
      </w:r>
      <w:r w:rsidRPr="0013558B">
        <w:rPr>
          <w:sz w:val="24"/>
          <w:szCs w:val="24"/>
        </w:rPr>
        <w:t xml:space="preserve">% от объема, предусмотренного государственной программой на 2016 год (23 000 тыс.руб.). Ожидаемое исполнение за 2016 год, по данным Департамента инвестиций, составит лишь 16-18 млн.руб., исполнение за 2015 год составило 18,5 млн.руб. (при плане 18,95 млн.руб.). </w:t>
      </w:r>
      <w:r w:rsidRPr="00D751E4">
        <w:rPr>
          <w:b/>
          <w:sz w:val="24"/>
          <w:szCs w:val="24"/>
        </w:rPr>
        <w:t xml:space="preserve">Таким образом, недостаточно убедительным и обоснованным является увеличение прогнозируемых на 2017 год расходов по данному мероприятию на 5 млн.руб. по сравнению с ожидаемым исполнением за текущий год.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По крупным инвестиционным проектам в соответствии с постановлением Администрации Томской области от 19.11.2012 № 462а «Об утверждении Порядка предоставления субсидий на возмещение части затрат в связи с производством (реализацией) товаров, выполнением работ, оказанием услуг в рамках реализации крупных инвестиционных проектов» предусмотрено оказание государственной поддержки ООО «Томскнефтехим» по инвестиционному соглашению от 27.12.2013 № 140 на 2017 год в объеме 1 365 000 тыс.руб. с целью возмещения не более 2/3 суммы фактических затрат, понесенных в рамках реализации крупного инвестиционного проекта «Развитие производства полимеров в ООО «Томскнефтехим», включенного в Реестр инвестиционных проектов Томской области, но не более суммы прироста уплаченных в текущем финансовом году в областной бюджет инвесторами (ОАО «СИБУР Холдинг» и ООО «Томскнефтехим») налогов на прибыль и на имущество организаций в сравнении с годом, предшествующим году заключения инвестиционного соглашения.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Обоснованием планируемой суммы субсидии  на 2017 год (последний год реализации инвестпроекта) является План инвестиций (освоения) и предоставления субсидий на 2012-2017 г.г. к Инвестиционному соглашению от 27.12.2013 № 140, заключенному Администрацией Томской области, ОАО «СИБУР Холдинг» и ООО «Томскнефтехим» в рамках реализации указанного крупного инвестиционного проекта.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Фактически за 9 месяцев текущего года данное мероприятие профинансировано на  61,3% от годового объема, предусмотренного госпрограммой (1 720 000 тыс.руб.)</w:t>
      </w:r>
      <w:r w:rsidR="004B535B">
        <w:rPr>
          <w:sz w:val="24"/>
          <w:szCs w:val="24"/>
        </w:rPr>
        <w:t>,</w:t>
      </w:r>
      <w:r w:rsidRPr="0013558B">
        <w:rPr>
          <w:sz w:val="24"/>
          <w:szCs w:val="24"/>
        </w:rPr>
        <w:t xml:space="preserve">  –  субсидии предоставлены ООО «Томскнефтехим» на сумму 1 054 009,2 тыс. руб. с целью возмещения фактических затрат в рамках реализации вышеуказанного крупного инвестиционного проекта по Инвестиционному соглашению от 27.12.2013 № 140. В 2015 году из областного бюджета субсидии предоставлены по двум крупным проектам на общую сумму 1 773 580,1 тыс. руб. (ООО «Томскнефтехим» –  1 364 164,1 тыс.руб. по вышеуказанному Инвестсоглашению и ООО «Биаксплен Т» по Инвестсоглашению от 22.05.2013 № 29 – 409 416 тыс.руб.).</w:t>
      </w:r>
    </w:p>
    <w:p w:rsidR="00220B3F" w:rsidRPr="0013558B" w:rsidRDefault="00220B3F" w:rsidP="00220B3F">
      <w:pPr>
        <w:ind w:firstLine="709"/>
        <w:rPr>
          <w:b/>
          <w:sz w:val="24"/>
          <w:szCs w:val="24"/>
        </w:rPr>
      </w:pPr>
    </w:p>
    <w:p w:rsidR="00220B3F" w:rsidRPr="0013558B" w:rsidRDefault="00220B3F" w:rsidP="00220B3F">
      <w:pPr>
        <w:ind w:firstLine="709"/>
        <w:rPr>
          <w:b/>
          <w:sz w:val="24"/>
          <w:szCs w:val="24"/>
        </w:rPr>
      </w:pPr>
      <w:r w:rsidRPr="0013558B">
        <w:rPr>
          <w:b/>
          <w:sz w:val="24"/>
          <w:szCs w:val="24"/>
        </w:rPr>
        <w:t>Государственная программа «Развитие инновационной деятельности и науки в Томской области» (далее – ГП-2)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Согласно паспорту ГП-2 ответственным исполнителем, соисполнителем и участником ГП-2 является Департамент по инновационной деятельности Администрации Томской области. Кроме того, участником ГП-2 выступает Департамент науки и высшего образования Администрации Томской области. Цель ГП-2 – повышение эффективности инновационной деятельности и развитие науки в Томской области  – достигается путем решения двух задач: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«Развитие научно-образовательного комплекса и инновационного сектора экономики Томской области» (в рамках подпрограммы с одноименным наименованием, в состав которой входит ВЦП «Подготовка кадров для инновационного развития экономики региона»);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«Развитие инновационного территориального кластера «Фармацевтика, медицинская техника и информационные технологии Томской области» (в рамках реализации подпрограммы с одноименным наименованием).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Законопроектом на 2017-2019 годы в рамках реализации ГП-2 предусмотрены расходы  областного бюджета ежегодно в объеме 107 938,1 тыс.руб.</w:t>
      </w:r>
      <w:r w:rsidR="004B535B">
        <w:rPr>
          <w:sz w:val="24"/>
          <w:szCs w:val="24"/>
        </w:rPr>
        <w:t>,</w:t>
      </w:r>
      <w:r w:rsidRPr="0013558B">
        <w:rPr>
          <w:sz w:val="24"/>
          <w:szCs w:val="24"/>
        </w:rPr>
        <w:t xml:space="preserve"> или на уровне плана текущего года (102% к его ожидаемому исполнению), из них: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ежегодно по 77 938,1  тыс.руб. (на уровне 2016 года)   – на подпрограмму «Развитие научно-образовательного комплекса и инновационного сектора экономики Томской области», в том числе 13 442,3 тыс.руб. – на реализацию ВЦП «Подготовка кадров для инновационного развития экономики региона»; 64 495,8 тыс.руб. – на реализацию трех основных мероприятий;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ежегодно по 30 000 тыс.руб. (на уровне текущего года) – на подпрограмму «Развитие инновационного территориального кластера «Фармацевтика, медицинская техника и информационные технологии Томской области» по основному мероприятию «Мероприятия, предусмотренные программами развития пилотных инновационных территориальных кластеров».</w:t>
      </w:r>
    </w:p>
    <w:p w:rsidR="00220B3F" w:rsidRPr="0013558B" w:rsidRDefault="00220B3F" w:rsidP="00220B3F">
      <w:pPr>
        <w:tabs>
          <w:tab w:val="left" w:pos="851"/>
        </w:tabs>
        <w:ind w:firstLine="720"/>
        <w:rPr>
          <w:sz w:val="24"/>
          <w:szCs w:val="24"/>
        </w:rPr>
      </w:pPr>
      <w:r w:rsidRPr="0013558B">
        <w:rPr>
          <w:sz w:val="24"/>
          <w:szCs w:val="24"/>
        </w:rPr>
        <w:t>Объемы прогнозных расходов областного бюджета на реализацию ГП-2 приведены без обоснований.</w:t>
      </w: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>По результатам анализа дополнительно запрошенных документов отметим, что расходы на реализацию в 2017-2019 годах основных мероприятий двух вышеуказанных подпрограмм ответственным исполнителем ГП-2 запланировано осуществлять по тем же направлениям и в тех же объемах, что и в 2016 году (с учетом изменений, внесенных в соответствии с решением начальника Департамента финансов в бюджетную роспись в части перераспределения расходов на проведение Всероссийского форума молодых ученых «</w:t>
      </w:r>
      <w:r w:rsidRPr="0013558B">
        <w:rPr>
          <w:sz w:val="24"/>
          <w:szCs w:val="24"/>
          <w:lang w:val="en-US"/>
        </w:rPr>
        <w:t>U</w:t>
      </w:r>
      <w:r w:rsidRPr="0013558B">
        <w:rPr>
          <w:sz w:val="24"/>
          <w:szCs w:val="24"/>
        </w:rPr>
        <w:t>-</w:t>
      </w:r>
      <w:r w:rsidRPr="0013558B">
        <w:rPr>
          <w:sz w:val="24"/>
          <w:szCs w:val="24"/>
          <w:lang w:val="en-US"/>
        </w:rPr>
        <w:t>NOVUS</w:t>
      </w:r>
      <w:r w:rsidRPr="0013558B">
        <w:rPr>
          <w:sz w:val="24"/>
          <w:szCs w:val="24"/>
        </w:rPr>
        <w:t>» и на реализацию мероприятий, предусмотренных программами развития пилотных инновационных территориальных кластеров).</w:t>
      </w:r>
    </w:p>
    <w:p w:rsidR="00220B3F" w:rsidRPr="0013558B" w:rsidRDefault="00220B3F" w:rsidP="00220B3F">
      <w:pPr>
        <w:tabs>
          <w:tab w:val="left" w:pos="851"/>
        </w:tabs>
        <w:ind w:firstLine="720"/>
        <w:rPr>
          <w:sz w:val="24"/>
          <w:szCs w:val="24"/>
        </w:rPr>
      </w:pPr>
      <w:r w:rsidRPr="0013558B">
        <w:rPr>
          <w:sz w:val="24"/>
          <w:szCs w:val="24"/>
        </w:rPr>
        <w:t>Кроме того, Департаментом по инновационной деятельности произведено перераспределение прогнозируемых расходов на осуществление мероприятий в области высшего образования между тремя основными мероприятиями подпрограммы «Развитие научно-образова-тельного комплекса и инновационного сектора экономики Томской области» на основе анализа результатов их реализации в 2015-2016 годах, так как было установлено, что данные мероприятия в большей степени направлены на достижение установленных значений показателей основных мероприятий «Создание условий для развития и реализации научно-технического и инновационного потенциала Томской области» и «Представление научно-технического и инновационного потенциала Томской области в региональных, всероссийских и международных мероприятиях», а не основного мероприятия «Развитие инфраструктуры инновационного бизнеса, инновационной инфраструктуры». В связи с этим за счет сокращения по сравнению с объемами 2016 года прогнозируемых расходов по основному мероприятию «Развитие инфраструктуры инновационного бизнеса, инновационной инфраструктуры» на 1 400 тыс.руб. (предоставление субсидий бюджетным, автономным, иным некоммерческим организациям уменьшено на 2 060 тыс.руб., при этом включены расходы в объеме 660 тыс. руб. на закупку товаров, работ, услуг для обеспечения госнужд в связи с принятием решения по выведению ряда расходов на контрактную систему закупок из-за необходимости более раннего старта финансирования реализуемых проектов в рамках мероприятий ГП-2) увеличены прогнозируемые расходы:</w:t>
      </w:r>
    </w:p>
    <w:p w:rsidR="00220B3F" w:rsidRPr="0013558B" w:rsidRDefault="00220B3F" w:rsidP="00220B3F">
      <w:pPr>
        <w:tabs>
          <w:tab w:val="left" w:pos="851"/>
        </w:tabs>
        <w:ind w:firstLine="720"/>
        <w:rPr>
          <w:sz w:val="24"/>
          <w:szCs w:val="24"/>
        </w:rPr>
      </w:pPr>
      <w:r w:rsidRPr="0013558B">
        <w:rPr>
          <w:sz w:val="24"/>
          <w:szCs w:val="24"/>
        </w:rPr>
        <w:t xml:space="preserve">- на 1 000 тыс.руб. </w:t>
      </w:r>
      <w:r w:rsidR="004B535B">
        <w:rPr>
          <w:sz w:val="24"/>
          <w:szCs w:val="24"/>
        </w:rPr>
        <w:t xml:space="preserve">- </w:t>
      </w:r>
      <w:r w:rsidRPr="0013558B">
        <w:rPr>
          <w:sz w:val="24"/>
          <w:szCs w:val="24"/>
        </w:rPr>
        <w:t>по основному мероприятию «Создание условий для развития и реализации научно-технического и инновационного потенциала Томской области» (в части предоставления субсидий на организацию и проведение мероприятий в области высшего образования);</w:t>
      </w:r>
    </w:p>
    <w:p w:rsidR="00220B3F" w:rsidRPr="0013558B" w:rsidRDefault="00220B3F" w:rsidP="00220B3F">
      <w:pPr>
        <w:tabs>
          <w:tab w:val="left" w:pos="851"/>
        </w:tabs>
        <w:ind w:firstLine="720"/>
        <w:rPr>
          <w:sz w:val="24"/>
          <w:szCs w:val="24"/>
        </w:rPr>
      </w:pPr>
      <w:r w:rsidRPr="0013558B">
        <w:rPr>
          <w:sz w:val="24"/>
          <w:szCs w:val="24"/>
        </w:rPr>
        <w:t xml:space="preserve">- на 400 тыс.руб. </w:t>
      </w:r>
      <w:r w:rsidR="004B535B">
        <w:rPr>
          <w:sz w:val="24"/>
          <w:szCs w:val="24"/>
        </w:rPr>
        <w:t xml:space="preserve">- </w:t>
      </w:r>
      <w:r w:rsidRPr="0013558B">
        <w:rPr>
          <w:sz w:val="24"/>
          <w:szCs w:val="24"/>
        </w:rPr>
        <w:t>по  основному мероприятию «Представление научно-технического и инновационного потенциала Томской области в региональных, всероссийских и международных мероприятиях» (в части организации и проведения деловых игр).</w:t>
      </w:r>
    </w:p>
    <w:p w:rsidR="00220B3F" w:rsidRPr="0013558B" w:rsidRDefault="00220B3F" w:rsidP="00220B3F">
      <w:pPr>
        <w:ind w:firstLine="709"/>
        <w:rPr>
          <w:b/>
          <w:sz w:val="24"/>
          <w:szCs w:val="24"/>
        </w:rPr>
      </w:pPr>
    </w:p>
    <w:p w:rsidR="00220B3F" w:rsidRPr="0013558B" w:rsidRDefault="00220B3F" w:rsidP="00220B3F">
      <w:pPr>
        <w:ind w:firstLine="709"/>
        <w:rPr>
          <w:b/>
          <w:sz w:val="24"/>
          <w:szCs w:val="24"/>
        </w:rPr>
      </w:pPr>
      <w:r w:rsidRPr="0013558B">
        <w:rPr>
          <w:b/>
          <w:sz w:val="24"/>
          <w:szCs w:val="24"/>
        </w:rPr>
        <w:t>Государственная программа «Развитие предпринимательства в Томской области» (далее – ГП-3)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 xml:space="preserve">Согласно паспорту ГП-3 ответственным исполнителем, соисполнителем и участником ГП-3 является Департамент промышленности и развития предпринимательства Томской области. Кроме того, соисполнителем и участником является Департамент по недропользованию и развитию нефтегазодобывающего комплекса Администрации Томской области, участником также является Департамент труда и занятости населения Томской области. Цель ГП-3 – развитие предпринимательства в Томской области  – достигается путем решения двух задач: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«Стимулирование предпринимательской активности населения для развития сферы малого и среднего предпринимательства - важного источника доходов населения» (в рамках подпрограммы «Развитие малого и среднего предпринимательства в Томской области»);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«Обеспечение эффективного недропользования субъектами предпринимательской деятельности»  (в рамках реализации подпрограммы «Развитие сферы общераспространенных полезных ископаемых» по ВЦП «Осуществление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ископаемых»).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Законопроектом на 2017-2019 годы по ГП-3 запланированы расходы областного бюджета ежегодно в сумме 124 312,2 тыс.руб., из них: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- 100 665 тыс.руб.  (99,8% к уровню текущего года без учета расходов по промышленному парку и ЗАТО Северск) – на подпрограмму «Развитие малого и среднего предпринимательства в Томской области»;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- 62,2 тыс.руб. (на уровне текущего года) – на подпрограмму «Развитие сферы общераспространенных полезных ископаемых»;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- 23 585 тыс. руб. (на уровне текущего года) – на обеспечивающую подпрограмму.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Объемы прогнозных расходов областного бюджета на реализацию ГП-3 приведены без обоснований.</w:t>
      </w: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>По результатам анализа дополнительно запрошенных документов у ответственного исполнителя госпрограммы отметим, что по подпрограмме «Развитие малого и среднего предприн</w:t>
      </w:r>
      <w:r>
        <w:rPr>
          <w:sz w:val="24"/>
          <w:szCs w:val="24"/>
        </w:rPr>
        <w:t>имательства в Томской области» з</w:t>
      </w:r>
      <w:r w:rsidRPr="0013558B">
        <w:rPr>
          <w:sz w:val="24"/>
          <w:szCs w:val="24"/>
        </w:rPr>
        <w:t>аконопроектом не предусмотрены расходы на 2017 год и на плановый период 2018-2019 годов по основному мероприятию «Создание промышленных парков для субъектов малого и среднего предпринимательства» в связи с недостаточной обоснованностью объема запрашиваемой субсидии бюджету муниципального образования «Город Томск» на софинансирование расходов на создание промышленных парков, предусмотренных в муниципальных программах, подпрограммах (требуется проведение работы по снижению заявленной потребности в данной субсидии и повторное рассмотрение при выделении дополнительного финансирования).  Кроме того, не прогнозируются расходы на предоставление субсидий бюджету муниципального образования «Городской округ - Закрытое административно-территориальное образование Северск Томской области» (по основному мероприятию «Создание и развитие эффективной инфраструктуры поддержки субъектов малого и среднего предпринимательства»). В бюджете на 2016 год предусмотрено 112 526 тыс.руб.  на предоставление субсидий ЗАТО Северск на софинансирование расходов на формирование условий для развития предпринимательства и создания новых рабочих мест, предусмотренных в муниципальной программе (подпрограмме), содержащей мероприятия, направленные на развитие малого и среднего предпринимательства. Указанные средства не использованы, по сведениям ответственного исполнителя ГП-3, рассматриваются предложения по выделению данного мероприятия в отдельную подпрограмму.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По остальным мероприятиям подпрограммы «Развитие малого и среднего предпринимательства в Томской области» предусмотрено в основном сохранение финансирования из областного бюджета на уровне текущего года (заявки на включение ассигнований на реализацию данных мероприятий в областной бюджет на 2017 год, по данным ответственного исполнителя ГП-3, значительно больше, но с учетом ограниченности региональных бюджетных ресурсов финансовую нагрузку по части расходов предполагается при возможности перенести на средства федерального бюджета). По ряду расходов вышеуказанной подпрограммы, в том числе по основному мероприятию  «Создание и развитие эффективной инфраструктуры поддержки субъектов малого и среднего предпринимательства», ответственным исполнителем ГП-3 увеличены прогнозируемые объемы по сравнению с уровнем текущего года, так: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на 35%  увеличены</w:t>
      </w: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>расходы на субсидии бюджетам муниципальных образований Томской области на софинансирование расходов на создание, развитие и обеспечение деятельности центров молодежного инновационного творчества, предусмотренных в муниципальных программах (подпрограммах), содержащих мероприятия по развитию малого и среднего предпринимательства в связи с увеличением до 5 количества действующих в Томской области центров молодежного инновационного творчества;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на 20% увеличены прогнозируемые расходы на субсидии бюджетам муниципальных образований Томской области, в том числе отнесенных к многопрофильным, на софинансирование расходов на развитие и обеспечение деятельности микрофинансовых организаций, предусмотренных в муниципальных программах (подпрограммах), содержащих мероприятия по развитию малого и среднего предпринимательства, в связи с востребованностью данной формы поддержки и в целях повышения ее эффективности;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в целом на 9% увеличены прогнозируемые расходы на развитие и обеспечение деятельности организаций инфраструктуры развития малого и среднего предпринимательства, в том числе субсидии Областному бизнес-инкубатору увеличены почти на четверть в целях расширения его деятельности по развитию процессов бизнес-инкубирования (на основании заявок); планируемый объем субсидий Центру кластерного развития Томской области выше уровня 2016 года на 2% – с учетом возможного переноса нагрузки на средства федерального бюджета и необходимости привлечения бюджетного финансирования из иных источников. Объем субсидий на развитие и обеспечение деятельности Гарантийного фонда Томской области предусмотрен на уровне 2016 года – 300 тыс.руб.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Контрольно-счетной палатой неоднократно обращалось внимание, в том числе в отчете по результатам проведенного в текущем году контрольного мероприятия, что в условиях дефицита бюджетных средств и достаточной о</w:t>
      </w:r>
      <w:r w:rsidRPr="0013558B">
        <w:rPr>
          <w:rFonts w:eastAsia="Calibri"/>
          <w:sz w:val="24"/>
          <w:szCs w:val="24"/>
        </w:rPr>
        <w:t>беспеч</w:t>
      </w:r>
      <w:r w:rsidRPr="0013558B">
        <w:rPr>
          <w:sz w:val="24"/>
          <w:szCs w:val="24"/>
        </w:rPr>
        <w:t xml:space="preserve">енности Гарантийного фонда Томской области собственными </w:t>
      </w:r>
      <w:r w:rsidRPr="0013558B">
        <w:rPr>
          <w:rFonts w:eastAsia="Calibri"/>
          <w:sz w:val="24"/>
          <w:szCs w:val="24"/>
        </w:rPr>
        <w:t xml:space="preserve">финансовыми ресурсами, </w:t>
      </w:r>
      <w:r w:rsidRPr="0013558B">
        <w:rPr>
          <w:sz w:val="24"/>
          <w:szCs w:val="24"/>
        </w:rPr>
        <w:t>достижения высокой</w:t>
      </w: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 xml:space="preserve">рентабельности деятельности (33,4%), коэффициентов ликвидности (38,4) и автономии (0,9), при значительном объеме полученной им чистой прибыли (22,7 млн.руб.) </w:t>
      </w:r>
      <w:r w:rsidRPr="00DD6712">
        <w:rPr>
          <w:b/>
          <w:sz w:val="24"/>
          <w:szCs w:val="24"/>
        </w:rPr>
        <w:t>нецелесообразно предоставление ежегодных субсидий за счет средств областного бюджета</w:t>
      </w:r>
      <w:r w:rsidRPr="0013558B">
        <w:rPr>
          <w:sz w:val="24"/>
          <w:szCs w:val="24"/>
        </w:rPr>
        <w:t xml:space="preserve"> в размере 200-400 тыс.руб. в целях обеспечения его деятельности (за период 2010-2015 г.г. Гарантийному фонду предоставлены субсидии за счет средств областного бюджета в общей сумме 1,9 млн.руб.).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Увеличение прогнозируемых расходов до 5 200 тыс.руб. по сравнению с уровнем текущего года (1 200 тыс.руб.) предусмотрено и по основному мероприятию «Формирование позитивного образа предпринимательства как источника роста общественного благосостояния» вышеуказанной подпрограммы (на организацию и проведение мероприятий, направленных на формирование положительного имиджа предпринимательской деятельности в Томской области, обеспечение участия субъектов малого и среднего предпринимательства и организаций инфраструктуры поддержки предпринимательства в мероприятиях, способствующих повышению имиджа предпринимательской деятельности в регионе).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По данным ответственного исполнителя ГП-3</w:t>
      </w:r>
      <w:r w:rsidR="004B535B">
        <w:rPr>
          <w:sz w:val="24"/>
          <w:szCs w:val="24"/>
        </w:rPr>
        <w:t>,</w:t>
      </w:r>
      <w:r w:rsidRPr="0013558B">
        <w:rPr>
          <w:sz w:val="24"/>
          <w:szCs w:val="24"/>
        </w:rPr>
        <w:t xml:space="preserve"> в целом планирование объема бюджетных ассигнований из областного бюджета на реализацию мероприятий в рамках подпрограммы «Развитие малого и среднего предпринимательства в Томской области» осуществлялось исходя из предельных объемов бюджетных ассигнований, доведенных до Департамента промышленности и развития предпринимательства Томской области, с учетом уровня финансирования подпрограммы в текущем году и заявок на включение ассигнований в областной бюджет на 2017 год, предоставленных</w:t>
      </w: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>организациями инфраструктуры поддержки предпринимательства. Определение объема финансирования из областного бюджета мероприятий, предусматривающих предоставление субсидий субъектам малого и среднего предпринимательства, реализующим проекты по созданию, развитию и модернизации материально-технической базы в целях производства товаров, выполнения работ, оказания услуг, осуществлялось, кроме того, с учетом максимального объема субсидий на одного получателя государственной поддержки. Прогнозирование объемов субсидий местным бюджетам муниципальных образований на реализацию мероприятий, предусмотренных в муниципальных программах развития субъектов малого и среднего предпринимательства, осуществлялось исходя из объема финансирования, предусмотренного в подпрограмме, и наличия необходимого уровня софинансирования таких мероприятий из местного бюджета.</w:t>
      </w:r>
    </w:p>
    <w:p w:rsidR="00220B3F" w:rsidRDefault="00220B3F" w:rsidP="00220B3F">
      <w:pPr>
        <w:ind w:firstLine="709"/>
        <w:rPr>
          <w:b/>
          <w:sz w:val="24"/>
          <w:szCs w:val="24"/>
        </w:rPr>
      </w:pPr>
    </w:p>
    <w:p w:rsidR="00220B3F" w:rsidRDefault="00220B3F" w:rsidP="00220B3F">
      <w:pPr>
        <w:ind w:firstLine="567"/>
        <w:outlineLvl w:val="0"/>
        <w:rPr>
          <w:sz w:val="24"/>
          <w:szCs w:val="24"/>
        </w:rPr>
      </w:pPr>
      <w:r w:rsidRPr="00B62625">
        <w:rPr>
          <w:b/>
          <w:color w:val="000000"/>
          <w:sz w:val="24"/>
          <w:szCs w:val="24"/>
          <w:lang w:eastAsia="ru-RU"/>
        </w:rPr>
        <w:t>Государственная программа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 w:rsidRPr="00602D03">
        <w:rPr>
          <w:b/>
          <w:sz w:val="24"/>
          <w:szCs w:val="24"/>
        </w:rPr>
        <w:t>«Развитие здравоохранения в Томской области»</w:t>
      </w:r>
      <w:r>
        <w:rPr>
          <w:b/>
          <w:sz w:val="24"/>
          <w:szCs w:val="24"/>
        </w:rPr>
        <w:t xml:space="preserve"> (ГП-7)</w:t>
      </w:r>
    </w:p>
    <w:p w:rsidR="00220B3F" w:rsidRPr="00EA48FB" w:rsidRDefault="00220B3F" w:rsidP="00220B3F">
      <w:pPr>
        <w:ind w:firstLine="567"/>
        <w:outlineLvl w:val="0"/>
        <w:rPr>
          <w:sz w:val="24"/>
          <w:szCs w:val="24"/>
        </w:rPr>
      </w:pPr>
      <w:r w:rsidRPr="00EA48FB">
        <w:rPr>
          <w:sz w:val="24"/>
          <w:szCs w:val="24"/>
        </w:rPr>
        <w:t xml:space="preserve">В проекте закона по ведомственной целевой программе «Повышение эффективности функционирования системы здравоохранения в Томской области» предусмотрены бюджетные ассигнования  на обязательное медицинское страхование неработающего населения, передаваемые </w:t>
      </w:r>
      <w:r w:rsidRPr="00EA48FB">
        <w:rPr>
          <w:color w:val="000000"/>
          <w:sz w:val="24"/>
          <w:szCs w:val="24"/>
        </w:rPr>
        <w:t>бюджету Федерального фонда ОМС</w:t>
      </w:r>
      <w:r w:rsidRPr="00EA48FB">
        <w:rPr>
          <w:sz w:val="24"/>
          <w:szCs w:val="24"/>
        </w:rPr>
        <w:t xml:space="preserve"> в размере </w:t>
      </w:r>
      <w:r w:rsidRPr="009C1838">
        <w:rPr>
          <w:color w:val="000000"/>
          <w:sz w:val="24"/>
          <w:szCs w:val="24"/>
          <w:lang w:eastAsia="ru-RU"/>
        </w:rPr>
        <w:t xml:space="preserve">5 628 153,1 </w:t>
      </w:r>
      <w:r w:rsidRPr="00EA48FB">
        <w:rPr>
          <w:sz w:val="24"/>
          <w:szCs w:val="24"/>
        </w:rPr>
        <w:t xml:space="preserve">тыс.руб., объем которых </w:t>
      </w:r>
      <w:r w:rsidRPr="00B171F3">
        <w:rPr>
          <w:b/>
          <w:sz w:val="24"/>
          <w:szCs w:val="24"/>
        </w:rPr>
        <w:t>требует уточнения в сторону уменьшения</w:t>
      </w:r>
      <w:r w:rsidRPr="00EA48FB">
        <w:rPr>
          <w:sz w:val="24"/>
          <w:szCs w:val="24"/>
        </w:rPr>
        <w:t xml:space="preserve">, так как фактически согласно проекту Закона Томской области «О бюджете </w:t>
      </w:r>
      <w:r w:rsidRPr="00EA48FB">
        <w:rPr>
          <w:color w:val="000000"/>
          <w:sz w:val="24"/>
          <w:szCs w:val="24"/>
        </w:rPr>
        <w:t xml:space="preserve">Территориального фонда обязательного медицинского страхования Томской области на 2017 год и на плановый период 2018 и 2019 годов» и произведенным расчетам, </w:t>
      </w:r>
      <w:r w:rsidRPr="00EA48FB">
        <w:rPr>
          <w:sz w:val="24"/>
          <w:szCs w:val="24"/>
        </w:rPr>
        <w:t xml:space="preserve">объем указанных средств должен </w:t>
      </w:r>
      <w:r w:rsidRPr="00EA48FB">
        <w:rPr>
          <w:color w:val="000000"/>
          <w:sz w:val="24"/>
          <w:szCs w:val="24"/>
        </w:rPr>
        <w:t xml:space="preserve">составить </w:t>
      </w:r>
      <w:r w:rsidRPr="009C1838">
        <w:rPr>
          <w:color w:val="000000"/>
          <w:sz w:val="24"/>
          <w:szCs w:val="24"/>
          <w:lang w:eastAsia="ru-RU"/>
        </w:rPr>
        <w:t xml:space="preserve">5 615 331,9 </w:t>
      </w:r>
      <w:r w:rsidRPr="00EA48FB">
        <w:rPr>
          <w:color w:val="000000"/>
          <w:sz w:val="24"/>
          <w:szCs w:val="24"/>
        </w:rPr>
        <w:t xml:space="preserve">тыс.руб. </w:t>
      </w:r>
      <w:r w:rsidRPr="00B171F3">
        <w:rPr>
          <w:color w:val="000000"/>
          <w:sz w:val="24"/>
          <w:szCs w:val="24"/>
        </w:rPr>
        <w:t>(</w:t>
      </w:r>
      <w:r w:rsidRPr="00B171F3">
        <w:rPr>
          <w:b/>
          <w:color w:val="000000"/>
          <w:sz w:val="24"/>
          <w:szCs w:val="24"/>
        </w:rPr>
        <w:t xml:space="preserve">- </w:t>
      </w:r>
      <w:r w:rsidRPr="00B171F3">
        <w:rPr>
          <w:b/>
          <w:color w:val="000000"/>
          <w:sz w:val="24"/>
          <w:szCs w:val="24"/>
          <w:lang w:eastAsia="ru-RU"/>
        </w:rPr>
        <w:t xml:space="preserve">12 821,2 </w:t>
      </w:r>
      <w:r w:rsidRPr="00B171F3">
        <w:rPr>
          <w:b/>
          <w:color w:val="000000"/>
          <w:sz w:val="24"/>
          <w:szCs w:val="24"/>
        </w:rPr>
        <w:t>тыс.руб.</w:t>
      </w:r>
      <w:r w:rsidRPr="00EA48FB">
        <w:rPr>
          <w:color w:val="000000"/>
          <w:sz w:val="24"/>
          <w:szCs w:val="24"/>
        </w:rPr>
        <w:t>).</w:t>
      </w:r>
    </w:p>
    <w:p w:rsidR="00220B3F" w:rsidRPr="00EA48FB" w:rsidRDefault="00220B3F" w:rsidP="00220B3F">
      <w:pPr>
        <w:ind w:firstLine="709"/>
        <w:rPr>
          <w:sz w:val="24"/>
          <w:szCs w:val="24"/>
        </w:rPr>
      </w:pPr>
      <w:r w:rsidRPr="00EA48FB">
        <w:rPr>
          <w:sz w:val="24"/>
          <w:szCs w:val="24"/>
        </w:rPr>
        <w:t xml:space="preserve">Расходы на реализацию </w:t>
      </w:r>
      <w:r>
        <w:rPr>
          <w:sz w:val="24"/>
          <w:szCs w:val="24"/>
        </w:rPr>
        <w:t xml:space="preserve">ГП </w:t>
      </w:r>
      <w:r w:rsidRPr="00EA48FB">
        <w:rPr>
          <w:sz w:val="24"/>
          <w:szCs w:val="24"/>
        </w:rPr>
        <w:t>«Развитие здравоохранения Томской области» предусмотрены в сумме</w:t>
      </w:r>
      <w:r>
        <w:rPr>
          <w:sz w:val="24"/>
          <w:szCs w:val="24"/>
        </w:rPr>
        <w:t xml:space="preserve"> 8 921,3</w:t>
      </w:r>
      <w:r w:rsidRPr="00EA48FB">
        <w:rPr>
          <w:sz w:val="24"/>
          <w:szCs w:val="24"/>
        </w:rPr>
        <w:t xml:space="preserve"> млн.руб., из них на финансирование областной Программы государственных гарантий бесплатного оказания гражданам медицинской помощи </w:t>
      </w:r>
      <w:r>
        <w:rPr>
          <w:sz w:val="24"/>
          <w:szCs w:val="24"/>
        </w:rPr>
        <w:t>на территории Томской области 3 146,1</w:t>
      </w:r>
      <w:r w:rsidRPr="00EA48FB">
        <w:rPr>
          <w:sz w:val="24"/>
          <w:szCs w:val="24"/>
        </w:rPr>
        <w:t xml:space="preserve"> млн.руб. Согласно проекту Программы государственных гарантий бесплатного оказания гражданам медицинской помощи на 2017 год, утверждаемой Правительством РФ, </w:t>
      </w:r>
      <w:r>
        <w:rPr>
          <w:sz w:val="24"/>
          <w:szCs w:val="24"/>
        </w:rPr>
        <w:t xml:space="preserve">средний </w:t>
      </w:r>
      <w:r w:rsidRPr="00EA48FB">
        <w:rPr>
          <w:sz w:val="24"/>
          <w:szCs w:val="24"/>
        </w:rPr>
        <w:t>подушевой норматив на 1 жителя за счет средств бюджета субъекта РФ планируется установить в размере</w:t>
      </w:r>
      <w:r>
        <w:rPr>
          <w:sz w:val="24"/>
          <w:szCs w:val="24"/>
        </w:rPr>
        <w:t xml:space="preserve"> 3 488,6</w:t>
      </w:r>
      <w:r w:rsidRPr="00EA48FB">
        <w:rPr>
          <w:sz w:val="24"/>
          <w:szCs w:val="24"/>
        </w:rPr>
        <w:t xml:space="preserve"> руб. Исходя из численности населения области на </w:t>
      </w:r>
      <w:r>
        <w:rPr>
          <w:sz w:val="24"/>
          <w:szCs w:val="24"/>
        </w:rPr>
        <w:t>2017 год согласно прогнозу СЭР – 1 081,4</w:t>
      </w:r>
      <w:r w:rsidRPr="00EA48FB">
        <w:rPr>
          <w:sz w:val="24"/>
          <w:szCs w:val="24"/>
        </w:rPr>
        <w:t xml:space="preserve"> тыс.чел.</w:t>
      </w:r>
      <w:r w:rsidRPr="00EA48FB">
        <w:rPr>
          <w:b/>
          <w:sz w:val="24"/>
          <w:szCs w:val="24"/>
        </w:rPr>
        <w:t xml:space="preserve"> </w:t>
      </w:r>
      <w:r w:rsidRPr="00EA48F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коэффициента дифференциации 1,379, рассчитанного по методике в соответствии с Постановлением Правительства РФ от 05.05.2012 №462 на основе данных Минфина РФ, размещенных на сайте ведомства на 2016 год по Томской области </w:t>
      </w:r>
      <w:r w:rsidRPr="00686DBA">
        <w:rPr>
          <w:color w:val="000000"/>
          <w:sz w:val="24"/>
          <w:szCs w:val="24"/>
          <w:lang w:eastAsia="ru-RU"/>
        </w:rPr>
        <w:t>(сумма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Севера… 1,462 и индекс бюджетных расходов 1,255</w:t>
      </w:r>
      <w:r>
        <w:rPr>
          <w:color w:val="0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, </w:t>
      </w:r>
      <w:r w:rsidRPr="00EA48FB">
        <w:rPr>
          <w:sz w:val="24"/>
          <w:szCs w:val="24"/>
        </w:rPr>
        <w:t xml:space="preserve">объем средств на реализацию областной Программы государственных гарантий бесплатного оказания гражданам медицинской помощи на территории Томской области должен составить </w:t>
      </w:r>
      <w:r>
        <w:rPr>
          <w:sz w:val="24"/>
          <w:szCs w:val="24"/>
        </w:rPr>
        <w:t xml:space="preserve">5 202,4 </w:t>
      </w:r>
      <w:r w:rsidRPr="00EA48FB">
        <w:rPr>
          <w:sz w:val="24"/>
          <w:szCs w:val="24"/>
        </w:rPr>
        <w:t xml:space="preserve">млн.руб. Соответственно дефицит бюджетной составляющей областной Программы на 2017 год составит </w:t>
      </w:r>
      <w:r>
        <w:rPr>
          <w:sz w:val="24"/>
          <w:szCs w:val="24"/>
        </w:rPr>
        <w:t>2 056,3</w:t>
      </w:r>
      <w:r w:rsidRPr="00EA48FB">
        <w:rPr>
          <w:sz w:val="24"/>
          <w:szCs w:val="24"/>
        </w:rPr>
        <w:t xml:space="preserve"> млн.руб.</w:t>
      </w:r>
      <w:r>
        <w:rPr>
          <w:sz w:val="24"/>
          <w:szCs w:val="24"/>
        </w:rPr>
        <w:t>,</w:t>
      </w:r>
      <w:r w:rsidRPr="00EA48FB">
        <w:rPr>
          <w:sz w:val="24"/>
          <w:szCs w:val="24"/>
        </w:rPr>
        <w:t xml:space="preserve"> или </w:t>
      </w:r>
      <w:r>
        <w:rPr>
          <w:sz w:val="24"/>
          <w:szCs w:val="24"/>
        </w:rPr>
        <w:t>39% от расчетной стоимости</w:t>
      </w:r>
      <w:r w:rsidRPr="00EA48FB">
        <w:rPr>
          <w:sz w:val="24"/>
          <w:szCs w:val="24"/>
        </w:rPr>
        <w:t xml:space="preserve">. </w:t>
      </w:r>
    </w:p>
    <w:p w:rsidR="00220B3F" w:rsidRDefault="00220B3F" w:rsidP="00220B3F">
      <w:pPr>
        <w:ind w:firstLine="709"/>
        <w:rPr>
          <w:b/>
          <w:sz w:val="24"/>
          <w:szCs w:val="24"/>
        </w:rPr>
      </w:pPr>
    </w:p>
    <w:p w:rsidR="00220B3F" w:rsidRDefault="00220B3F" w:rsidP="00220B3F">
      <w:pPr>
        <w:ind w:firstLine="567"/>
        <w:outlineLvl w:val="2"/>
        <w:rPr>
          <w:b/>
          <w:sz w:val="24"/>
          <w:szCs w:val="24"/>
          <w:lang w:eastAsia="ru-RU"/>
        </w:rPr>
      </w:pPr>
      <w:r w:rsidRPr="00B62625">
        <w:rPr>
          <w:b/>
          <w:color w:val="000000"/>
          <w:sz w:val="24"/>
          <w:szCs w:val="24"/>
          <w:lang w:eastAsia="ru-RU"/>
        </w:rPr>
        <w:t>Государственная программа</w:t>
      </w:r>
      <w:r w:rsidRPr="00747780">
        <w:rPr>
          <w:b/>
          <w:sz w:val="24"/>
          <w:szCs w:val="24"/>
          <w:lang w:eastAsia="ru-RU"/>
        </w:rPr>
        <w:t xml:space="preserve"> «Развитие </w:t>
      </w:r>
      <w:r>
        <w:rPr>
          <w:b/>
          <w:sz w:val="24"/>
          <w:szCs w:val="24"/>
          <w:lang w:eastAsia="ru-RU"/>
        </w:rPr>
        <w:t>образования в Томской области» (ГП-9)</w:t>
      </w:r>
    </w:p>
    <w:p w:rsidR="00220B3F" w:rsidRPr="00335EE8" w:rsidRDefault="00220B3F" w:rsidP="00220B3F">
      <w:pPr>
        <w:ind w:firstLine="567"/>
        <w:rPr>
          <w:sz w:val="24"/>
          <w:szCs w:val="24"/>
        </w:rPr>
      </w:pPr>
      <w:r w:rsidRPr="00335EE8">
        <w:rPr>
          <w:sz w:val="24"/>
          <w:szCs w:val="24"/>
        </w:rPr>
        <w:t xml:space="preserve">В ходе проверки наличия документов, представляемых одновременно с проектом бюджета, установлено, что в нарушение ст. 184.2 Бюджетного кодекса РФ </w:t>
      </w:r>
      <w:r w:rsidRPr="008C238D">
        <w:rPr>
          <w:b/>
          <w:sz w:val="24"/>
          <w:szCs w:val="24"/>
        </w:rPr>
        <w:t>не представлен</w:t>
      </w:r>
      <w:r w:rsidRPr="008C238D">
        <w:rPr>
          <w:b/>
          <w:sz w:val="24"/>
          <w:szCs w:val="24"/>
          <w:lang w:eastAsia="ru-RU"/>
        </w:rPr>
        <w:t xml:space="preserve"> расчет распределения</w:t>
      </w:r>
      <w:r>
        <w:rPr>
          <w:sz w:val="24"/>
          <w:szCs w:val="24"/>
          <w:lang w:eastAsia="ru-RU"/>
        </w:rPr>
        <w:t xml:space="preserve"> иных</w:t>
      </w:r>
      <w:r w:rsidRPr="00335EE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межбюджетных трансфертов</w:t>
      </w:r>
      <w:r w:rsidRPr="00335EE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 выплату стипендии Губернатора Томской области лучшим учителям муниципальных образовательных организаций, расходы на выплату которых предусмотрены по </w:t>
      </w:r>
      <w:r w:rsidRPr="00335EE8">
        <w:rPr>
          <w:sz w:val="24"/>
          <w:szCs w:val="24"/>
          <w:lang w:eastAsia="ru-RU"/>
        </w:rPr>
        <w:t>Департаменту общего образования</w:t>
      </w:r>
      <w:r>
        <w:rPr>
          <w:sz w:val="24"/>
          <w:szCs w:val="24"/>
          <w:lang w:eastAsia="ru-RU"/>
        </w:rPr>
        <w:t xml:space="preserve"> в сумме 32 677,5 тыс.руб. При этом данные расходы также не зарезервированы в соответствии со ст.14 проекта бюджета</w:t>
      </w:r>
      <w:r w:rsidRPr="00335EE8">
        <w:rPr>
          <w:sz w:val="24"/>
          <w:szCs w:val="24"/>
          <w:lang w:eastAsia="ru-RU"/>
        </w:rPr>
        <w:t xml:space="preserve"> в составе утвержденных расходов в ведомственной структуре расходов Департаменту общего образования</w:t>
      </w:r>
      <w:r>
        <w:rPr>
          <w:sz w:val="24"/>
          <w:szCs w:val="24"/>
          <w:lang w:eastAsia="ru-RU"/>
        </w:rPr>
        <w:t>.</w:t>
      </w:r>
    </w:p>
    <w:p w:rsidR="00220B3F" w:rsidRPr="00335EE8" w:rsidRDefault="00220B3F" w:rsidP="00220B3F">
      <w:pPr>
        <w:ind w:firstLine="567"/>
        <w:outlineLvl w:val="0"/>
        <w:rPr>
          <w:sz w:val="24"/>
          <w:szCs w:val="24"/>
        </w:rPr>
      </w:pPr>
      <w:r w:rsidRPr="00335EE8">
        <w:rPr>
          <w:sz w:val="24"/>
          <w:szCs w:val="24"/>
        </w:rPr>
        <w:t>Н</w:t>
      </w:r>
      <w:r>
        <w:rPr>
          <w:sz w:val="24"/>
          <w:szCs w:val="24"/>
        </w:rPr>
        <w:t>а момент представления проекта бюджета</w:t>
      </w:r>
      <w:r w:rsidRPr="00335EE8">
        <w:rPr>
          <w:sz w:val="24"/>
          <w:szCs w:val="24"/>
        </w:rPr>
        <w:t xml:space="preserve"> не внесены соответствующие изменения в методику расчета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организаций, замечания по которой были направлены Департаменту общего образования в 1 полугодии 2016 года. Департаментом планируется внесение изменений в методику в 4 квартале 2016 года</w:t>
      </w:r>
      <w:r>
        <w:rPr>
          <w:sz w:val="24"/>
          <w:szCs w:val="24"/>
        </w:rPr>
        <w:t>. Зап</w:t>
      </w:r>
      <w:r w:rsidRPr="00335EE8">
        <w:rPr>
          <w:sz w:val="24"/>
          <w:szCs w:val="24"/>
        </w:rPr>
        <w:t>ланир</w:t>
      </w:r>
      <w:r>
        <w:rPr>
          <w:sz w:val="24"/>
          <w:szCs w:val="24"/>
        </w:rPr>
        <w:t>ованные</w:t>
      </w:r>
      <w:r w:rsidRPr="00335EE8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 xml:space="preserve">на указанные цели </w:t>
      </w:r>
      <w:r w:rsidRPr="00335EE8">
        <w:rPr>
          <w:sz w:val="24"/>
          <w:szCs w:val="24"/>
        </w:rPr>
        <w:t xml:space="preserve">в сумме 705 131,2 тыс.руб. не распределены и зарезервированы </w:t>
      </w:r>
      <w:r w:rsidRPr="00335EE8">
        <w:rPr>
          <w:sz w:val="24"/>
          <w:szCs w:val="24"/>
          <w:lang w:eastAsia="ru-RU"/>
        </w:rPr>
        <w:t>в составе утвержденных расходов в ведомственной структуре расходов Департаменту общего образования.</w:t>
      </w:r>
    </w:p>
    <w:p w:rsidR="00220B3F" w:rsidRPr="00335EE8" w:rsidRDefault="00220B3F" w:rsidP="00220B3F">
      <w:pPr>
        <w:ind w:firstLine="567"/>
        <w:outlineLvl w:val="0"/>
        <w:rPr>
          <w:sz w:val="24"/>
          <w:szCs w:val="24"/>
        </w:rPr>
      </w:pPr>
      <w:r w:rsidRPr="00335EE8">
        <w:rPr>
          <w:sz w:val="24"/>
          <w:szCs w:val="24"/>
        </w:rPr>
        <w:t xml:space="preserve">Проведенный анализ </w:t>
      </w:r>
      <w:r w:rsidRPr="00B171F3">
        <w:rPr>
          <w:b/>
          <w:sz w:val="24"/>
          <w:szCs w:val="24"/>
        </w:rPr>
        <w:t>показал необходимость внесения изменений</w:t>
      </w:r>
      <w:r w:rsidRPr="00335EE8">
        <w:rPr>
          <w:sz w:val="24"/>
          <w:szCs w:val="24"/>
        </w:rPr>
        <w:t xml:space="preserve"> и в другие аналогичные методики</w:t>
      </w:r>
      <w:r>
        <w:rPr>
          <w:sz w:val="24"/>
          <w:szCs w:val="24"/>
        </w:rPr>
        <w:t xml:space="preserve"> распределения межбюджетных трансфертов</w:t>
      </w:r>
      <w:r w:rsidRPr="00335EE8">
        <w:rPr>
          <w:sz w:val="24"/>
          <w:szCs w:val="24"/>
        </w:rPr>
        <w:t>, в которых применяются коэффициент зависимости достижения целевого показателя текущего года муниципальным образованием от достигнутого уровня предшествующего года и средневзвешенный коэффициент, учитывающий, в том числе</w:t>
      </w:r>
      <w:r>
        <w:rPr>
          <w:sz w:val="24"/>
          <w:szCs w:val="24"/>
        </w:rPr>
        <w:t>,</w:t>
      </w:r>
      <w:r w:rsidRPr="00335EE8">
        <w:rPr>
          <w:sz w:val="24"/>
          <w:szCs w:val="24"/>
        </w:rPr>
        <w:t xml:space="preserve"> выплаты за работу в сельской местности, а именно:</w:t>
      </w:r>
    </w:p>
    <w:p w:rsidR="00220B3F" w:rsidRPr="00335EE8" w:rsidRDefault="00220B3F" w:rsidP="00220B3F">
      <w:pPr>
        <w:ind w:firstLine="567"/>
        <w:outlineLvl w:val="0"/>
        <w:rPr>
          <w:sz w:val="24"/>
          <w:szCs w:val="24"/>
        </w:rPr>
      </w:pPr>
      <w:r w:rsidRPr="00335EE8">
        <w:rPr>
          <w:sz w:val="24"/>
          <w:szCs w:val="24"/>
        </w:rPr>
        <w:t xml:space="preserve">- распределения субсидий между местными бюджетами муниципальных образований Томской области на достижение целевых показателей по </w:t>
      </w:r>
      <w:hyperlink r:id="rId19" w:history="1">
        <w:r w:rsidRPr="00335EE8">
          <w:rPr>
            <w:sz w:val="24"/>
            <w:szCs w:val="24"/>
          </w:rPr>
          <w:t>плану</w:t>
        </w:r>
      </w:hyperlink>
      <w:r w:rsidRPr="00335EE8">
        <w:rPr>
          <w:sz w:val="24"/>
          <w:szCs w:val="24"/>
        </w:rPr>
        <w:t xml:space="preserve">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в сумме 446 937,8 тыс.руб.;</w:t>
      </w:r>
    </w:p>
    <w:p w:rsidR="00220B3F" w:rsidRDefault="00220B3F" w:rsidP="00220B3F">
      <w:pPr>
        <w:ind w:firstLine="567"/>
        <w:outlineLvl w:val="0"/>
        <w:rPr>
          <w:sz w:val="24"/>
          <w:szCs w:val="24"/>
        </w:rPr>
      </w:pPr>
      <w:r w:rsidRPr="00335EE8">
        <w:rPr>
          <w:sz w:val="24"/>
          <w:szCs w:val="24"/>
        </w:rPr>
        <w:t xml:space="preserve">- распределения субсидий между местными бюджетами муниципальных образований Томской области на достижение целевых показателей по </w:t>
      </w:r>
      <w:hyperlink r:id="rId20" w:history="1">
        <w:r w:rsidRPr="00335EE8">
          <w:rPr>
            <w:sz w:val="24"/>
            <w:szCs w:val="24"/>
          </w:rPr>
          <w:t>плану</w:t>
        </w:r>
      </w:hyperlink>
      <w:r w:rsidRPr="00335EE8">
        <w:rPr>
          <w:sz w:val="24"/>
          <w:szCs w:val="24"/>
        </w:rPr>
        <w:t xml:space="preserve"> мероприятий («дорожной карте») «Изменения в сфере образования в Томской области» в части повышения заработной платы педагогических</w:t>
      </w:r>
      <w:r w:rsidRPr="000A4CBC">
        <w:rPr>
          <w:sz w:val="24"/>
          <w:szCs w:val="24"/>
        </w:rPr>
        <w:t xml:space="preserve"> работников муниципальных организаций дополнительн</w:t>
      </w:r>
      <w:r>
        <w:rPr>
          <w:sz w:val="24"/>
          <w:szCs w:val="24"/>
        </w:rPr>
        <w:t>ого образования Томской области. В проекте бюджета распределение субсидий представлено по 2-м из 3-х Департаментов (Департамент по культуре и туризму – 59 991 тыс.руб., Департамент по молодежной политике, физической культуры и спорта – 65 199 тыс.руб.), по Департаменту общего образования средства в сумме 252 406,4 тыс.руб. зарезервированы.</w:t>
      </w:r>
    </w:p>
    <w:p w:rsidR="00220B3F" w:rsidRDefault="00220B3F" w:rsidP="00220B3F">
      <w:pPr>
        <w:ind w:firstLine="567"/>
        <w:outlineLvl w:val="0"/>
        <w:rPr>
          <w:sz w:val="24"/>
          <w:szCs w:val="24"/>
        </w:rPr>
      </w:pPr>
    </w:p>
    <w:p w:rsidR="00220B3F" w:rsidRDefault="00220B3F" w:rsidP="00220B3F">
      <w:pPr>
        <w:ind w:firstLine="567"/>
        <w:outlineLvl w:val="2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Отмечаем, что указанные расходы также учитываются по расходам на мероприятия </w:t>
      </w:r>
      <w:r w:rsidRPr="00BD2242">
        <w:rPr>
          <w:b/>
          <w:sz w:val="24"/>
          <w:szCs w:val="24"/>
        </w:rPr>
        <w:t>ГП</w:t>
      </w:r>
      <w:r>
        <w:rPr>
          <w:b/>
          <w:sz w:val="24"/>
          <w:szCs w:val="24"/>
        </w:rPr>
        <w:t xml:space="preserve"> </w:t>
      </w:r>
      <w:r w:rsidRPr="00747780">
        <w:rPr>
          <w:b/>
          <w:sz w:val="24"/>
          <w:szCs w:val="24"/>
          <w:lang w:eastAsia="ru-RU"/>
        </w:rPr>
        <w:t>«</w:t>
      </w:r>
      <w:r w:rsidRPr="005B7F8E">
        <w:rPr>
          <w:b/>
          <w:sz w:val="24"/>
          <w:szCs w:val="24"/>
          <w:lang w:eastAsia="ru-RU"/>
        </w:rPr>
        <w:t>Развитие молодежной политики, физической куль</w:t>
      </w:r>
      <w:r w:rsidRPr="00747780">
        <w:rPr>
          <w:b/>
          <w:sz w:val="24"/>
          <w:szCs w:val="24"/>
          <w:lang w:eastAsia="ru-RU"/>
        </w:rPr>
        <w:t>туры и спорта в Томской области»</w:t>
      </w:r>
      <w:r>
        <w:rPr>
          <w:b/>
          <w:sz w:val="24"/>
          <w:szCs w:val="24"/>
          <w:lang w:eastAsia="ru-RU"/>
        </w:rPr>
        <w:t xml:space="preserve"> (ГП-8)</w:t>
      </w:r>
      <w:r w:rsidRPr="00BD22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ru-RU"/>
        </w:rPr>
        <w:t>и</w:t>
      </w:r>
      <w:r w:rsidRPr="0074778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ГП</w:t>
      </w:r>
      <w:r w:rsidRPr="00747780">
        <w:rPr>
          <w:b/>
          <w:sz w:val="24"/>
          <w:szCs w:val="24"/>
          <w:lang w:eastAsia="ru-RU"/>
        </w:rPr>
        <w:t xml:space="preserve"> «Развитие культу</w:t>
      </w:r>
      <w:r>
        <w:rPr>
          <w:b/>
          <w:sz w:val="24"/>
          <w:szCs w:val="24"/>
          <w:lang w:eastAsia="ru-RU"/>
        </w:rPr>
        <w:t>ры и туризма в Томской области» (ГП-10)</w:t>
      </w:r>
      <w:r w:rsidRPr="00747780">
        <w:rPr>
          <w:b/>
          <w:sz w:val="24"/>
          <w:szCs w:val="24"/>
          <w:lang w:eastAsia="ru-RU"/>
        </w:rPr>
        <w:t>.</w:t>
      </w:r>
    </w:p>
    <w:p w:rsidR="00220B3F" w:rsidRDefault="00220B3F" w:rsidP="00220B3F">
      <w:pPr>
        <w:ind w:firstLine="709"/>
        <w:rPr>
          <w:b/>
          <w:sz w:val="24"/>
          <w:szCs w:val="24"/>
        </w:rPr>
      </w:pPr>
    </w:p>
    <w:p w:rsidR="00220B3F" w:rsidRDefault="00220B3F" w:rsidP="00220B3F">
      <w:pPr>
        <w:ind w:firstLine="567"/>
        <w:outlineLvl w:val="0"/>
        <w:rPr>
          <w:b/>
          <w:sz w:val="24"/>
          <w:szCs w:val="24"/>
          <w:lang w:eastAsia="ru-RU"/>
        </w:rPr>
      </w:pPr>
      <w:r w:rsidRPr="00B62625">
        <w:rPr>
          <w:b/>
          <w:color w:val="000000"/>
          <w:sz w:val="24"/>
          <w:szCs w:val="24"/>
          <w:lang w:eastAsia="ru-RU"/>
        </w:rPr>
        <w:t>Государственная программа</w:t>
      </w:r>
      <w:r w:rsidRPr="00747780">
        <w:rPr>
          <w:b/>
          <w:sz w:val="24"/>
          <w:szCs w:val="24"/>
          <w:lang w:eastAsia="ru-RU"/>
        </w:rPr>
        <w:t xml:space="preserve"> </w:t>
      </w:r>
      <w:r w:rsidRPr="0026512F">
        <w:rPr>
          <w:b/>
          <w:sz w:val="24"/>
          <w:szCs w:val="24"/>
        </w:rPr>
        <w:t>«</w:t>
      </w:r>
      <w:r w:rsidRPr="0026512F">
        <w:rPr>
          <w:b/>
          <w:sz w:val="24"/>
          <w:szCs w:val="24"/>
          <w:lang w:eastAsia="ru-RU"/>
        </w:rPr>
        <w:t>Социальная поддержка населения Томской области»</w:t>
      </w:r>
      <w:r>
        <w:rPr>
          <w:b/>
          <w:sz w:val="24"/>
          <w:szCs w:val="24"/>
          <w:lang w:eastAsia="ru-RU"/>
        </w:rPr>
        <w:t xml:space="preserve"> (ГП-11)</w:t>
      </w:r>
    </w:p>
    <w:p w:rsidR="00220B3F" w:rsidRPr="00EA48FB" w:rsidRDefault="00220B3F" w:rsidP="00220B3F">
      <w:pPr>
        <w:ind w:firstLine="567"/>
        <w:rPr>
          <w:sz w:val="24"/>
          <w:szCs w:val="24"/>
          <w:lang w:eastAsia="ru-RU"/>
        </w:rPr>
      </w:pPr>
      <w:r w:rsidRPr="00EA48FB">
        <w:rPr>
          <w:sz w:val="24"/>
          <w:szCs w:val="24"/>
        </w:rPr>
        <w:t xml:space="preserve">По </w:t>
      </w:r>
      <w:r w:rsidRPr="00EA48FB">
        <w:rPr>
          <w:sz w:val="24"/>
          <w:szCs w:val="24"/>
          <w:lang w:eastAsia="ru-RU"/>
        </w:rPr>
        <w:t>п</w:t>
      </w:r>
      <w:r w:rsidRPr="00693D9A">
        <w:rPr>
          <w:sz w:val="24"/>
          <w:szCs w:val="24"/>
          <w:lang w:eastAsia="ru-RU"/>
        </w:rPr>
        <w:t>одпрограмм</w:t>
      </w:r>
      <w:r w:rsidRPr="00EA48FB">
        <w:rPr>
          <w:sz w:val="24"/>
          <w:szCs w:val="24"/>
          <w:lang w:eastAsia="ru-RU"/>
        </w:rPr>
        <w:t>е «</w:t>
      </w:r>
      <w:r w:rsidRPr="00693D9A">
        <w:rPr>
          <w:sz w:val="24"/>
          <w:szCs w:val="24"/>
          <w:lang w:eastAsia="ru-RU"/>
        </w:rPr>
        <w:t>Развитие мер социальной поддер</w:t>
      </w:r>
      <w:r w:rsidRPr="00EA48FB">
        <w:rPr>
          <w:sz w:val="24"/>
          <w:szCs w:val="24"/>
          <w:lang w:eastAsia="ru-RU"/>
        </w:rPr>
        <w:t>жки отдельных категорий граждан» в</w:t>
      </w:r>
      <w:r w:rsidRPr="00693D9A">
        <w:rPr>
          <w:sz w:val="24"/>
          <w:szCs w:val="24"/>
          <w:lang w:eastAsia="ru-RU"/>
        </w:rPr>
        <w:t>едомственн</w:t>
      </w:r>
      <w:r w:rsidRPr="00EA48FB">
        <w:rPr>
          <w:sz w:val="24"/>
          <w:szCs w:val="24"/>
          <w:lang w:eastAsia="ru-RU"/>
        </w:rPr>
        <w:t>ой целевой</w:t>
      </w:r>
      <w:r w:rsidRPr="00693D9A">
        <w:rPr>
          <w:sz w:val="24"/>
          <w:szCs w:val="24"/>
          <w:lang w:eastAsia="ru-RU"/>
        </w:rPr>
        <w:t xml:space="preserve"> программ</w:t>
      </w:r>
      <w:r w:rsidRPr="00EA48FB">
        <w:rPr>
          <w:sz w:val="24"/>
          <w:szCs w:val="24"/>
          <w:lang w:eastAsia="ru-RU"/>
        </w:rPr>
        <w:t>е «</w:t>
      </w:r>
      <w:r w:rsidRPr="00693D9A">
        <w:rPr>
          <w:sz w:val="24"/>
          <w:szCs w:val="24"/>
          <w:lang w:eastAsia="ru-RU"/>
        </w:rPr>
        <w:t xml:space="preserve">Исполнение принятых обязательств по социальной поддержке отдельных категорий граждан за </w:t>
      </w:r>
      <w:r w:rsidRPr="00EA48FB">
        <w:rPr>
          <w:sz w:val="24"/>
          <w:szCs w:val="24"/>
          <w:lang w:eastAsia="ru-RU"/>
        </w:rPr>
        <w:t>счет средств областного бюджета» предусмотрены расходы на выплату к</w:t>
      </w:r>
      <w:r w:rsidRPr="00EA48FB">
        <w:rPr>
          <w:sz w:val="24"/>
          <w:szCs w:val="24"/>
        </w:rPr>
        <w:t xml:space="preserve">омпенсации за присмотр и уход за ребенком в образовательных организациях, реализующих образовательную программу дошкольного образования или за услуги индивидуального предпринимателя в сфере дошкольного образования в размере 250 881 тыс.руб. Статьей 20 Закона Томской области «Об образовании в Томской области» предусмотрена компенсация в размере 100% от </w:t>
      </w:r>
      <w:r w:rsidRPr="00EA48FB">
        <w:rPr>
          <w:sz w:val="24"/>
          <w:szCs w:val="24"/>
          <w:lang w:eastAsia="ru-RU"/>
        </w:rPr>
        <w:t>внесенной родительской платы за присмотр и уход за ребенком в соответствующей образовательной организации или за услуги индивидуального предпринимателя</w:t>
      </w:r>
      <w:r w:rsidRPr="00AB5590">
        <w:rPr>
          <w:sz w:val="24"/>
          <w:szCs w:val="24"/>
          <w:lang w:eastAsia="ru-RU"/>
        </w:rPr>
        <w:t xml:space="preserve"> </w:t>
      </w:r>
      <w:r w:rsidRPr="00EA48FB">
        <w:rPr>
          <w:sz w:val="24"/>
          <w:szCs w:val="24"/>
          <w:lang w:eastAsia="ru-RU"/>
        </w:rPr>
        <w:t xml:space="preserve">семьям с низкими доходами, среднедушевой доход которых не превышает 1,2 величины прожиточного минимума на душу населения в Томской области, но не более 1126 руб. ежемесячно на каждого ребенка. Семьям </w:t>
      </w:r>
      <w:r w:rsidRPr="00D17485">
        <w:rPr>
          <w:b/>
          <w:sz w:val="24"/>
          <w:szCs w:val="24"/>
          <w:lang w:eastAsia="ru-RU"/>
        </w:rPr>
        <w:t xml:space="preserve">вне зависимости от нуждаемости </w:t>
      </w:r>
      <w:r>
        <w:rPr>
          <w:sz w:val="24"/>
          <w:szCs w:val="24"/>
          <w:lang w:eastAsia="ru-RU"/>
        </w:rPr>
        <w:t xml:space="preserve">предусмотрена </w:t>
      </w:r>
      <w:r w:rsidRPr="00EA48FB">
        <w:rPr>
          <w:sz w:val="24"/>
          <w:szCs w:val="24"/>
          <w:lang w:eastAsia="ru-RU"/>
        </w:rPr>
        <w:t>компенсация в размере 20% среднего размера родительской платы на первого ребенка; 50% размера - на второго ребенка; 70% - на третьего ребенка и последующих детей.</w:t>
      </w:r>
    </w:p>
    <w:p w:rsidR="00220B3F" w:rsidRPr="00EA48FB" w:rsidRDefault="00220B3F" w:rsidP="00220B3F">
      <w:pPr>
        <w:ind w:firstLine="567"/>
        <w:rPr>
          <w:sz w:val="24"/>
          <w:szCs w:val="24"/>
          <w:lang w:eastAsia="ru-RU"/>
        </w:rPr>
      </w:pPr>
      <w:r w:rsidRPr="00EA48FB">
        <w:rPr>
          <w:sz w:val="24"/>
          <w:szCs w:val="24"/>
          <w:lang w:eastAsia="ru-RU"/>
        </w:rPr>
        <w:t xml:space="preserve">Учитывая изменения, внесенные в Федеральный закон от 29.12.2012 № 273-ФЗ «Об образовании в Российской Федерации» (ст.65), </w:t>
      </w:r>
      <w:r>
        <w:rPr>
          <w:sz w:val="24"/>
          <w:szCs w:val="24"/>
          <w:lang w:eastAsia="ru-RU"/>
        </w:rPr>
        <w:t xml:space="preserve">согласно </w:t>
      </w:r>
      <w:r w:rsidRPr="00EA48FB">
        <w:rPr>
          <w:sz w:val="24"/>
          <w:szCs w:val="24"/>
          <w:lang w:eastAsia="ru-RU"/>
        </w:rPr>
        <w:t xml:space="preserve">которым при предоставлении компенсации органы государственной власти субъектов РФ вправе законами и иными нормативными правовыми актами субъектов РФ устанавливать критерии нуждаемости, </w:t>
      </w:r>
      <w:r w:rsidRPr="00D17485">
        <w:rPr>
          <w:b/>
          <w:sz w:val="24"/>
          <w:szCs w:val="24"/>
          <w:lang w:eastAsia="ru-RU"/>
        </w:rPr>
        <w:t>предлагаем рассмотреть возможность установления критериев нуждаемости при предоставлении компенсации</w:t>
      </w:r>
      <w:r w:rsidRPr="00EA48FB">
        <w:rPr>
          <w:sz w:val="24"/>
          <w:szCs w:val="24"/>
        </w:rPr>
        <w:t xml:space="preserve"> </w:t>
      </w:r>
      <w:r w:rsidRPr="00EA48FB">
        <w:rPr>
          <w:sz w:val="24"/>
          <w:szCs w:val="24"/>
          <w:lang w:eastAsia="ru-RU"/>
        </w:rPr>
        <w:t>родительской платы за присмотр и уход за ребенком в образовательной организации или за услуги индивидуального предпринимателя.</w:t>
      </w:r>
      <w:r>
        <w:rPr>
          <w:sz w:val="24"/>
          <w:szCs w:val="24"/>
          <w:lang w:eastAsia="ru-RU"/>
        </w:rPr>
        <w:t xml:space="preserve"> Таким образом, возможно образование экономии по указанному расходному обязательству.</w:t>
      </w:r>
    </w:p>
    <w:p w:rsidR="00220B3F" w:rsidRDefault="00220B3F" w:rsidP="00220B3F">
      <w:pPr>
        <w:ind w:firstLine="709"/>
        <w:rPr>
          <w:b/>
          <w:sz w:val="24"/>
          <w:szCs w:val="24"/>
        </w:rPr>
      </w:pPr>
    </w:p>
    <w:p w:rsidR="00220B3F" w:rsidRDefault="00220B3F" w:rsidP="00220B3F">
      <w:pPr>
        <w:spacing w:before="120"/>
        <w:ind w:firstLine="709"/>
        <w:rPr>
          <w:b/>
          <w:color w:val="000000"/>
          <w:sz w:val="24"/>
          <w:szCs w:val="24"/>
          <w:lang w:eastAsia="ru-RU"/>
        </w:rPr>
      </w:pPr>
      <w:r w:rsidRPr="00B62625">
        <w:rPr>
          <w:b/>
          <w:color w:val="000000"/>
          <w:sz w:val="24"/>
          <w:szCs w:val="24"/>
          <w:lang w:eastAsia="ru-RU"/>
        </w:rPr>
        <w:t>Государственная программа «Обеспечение доступности жилья и улучшение качества жилищных условий населения Том</w:t>
      </w:r>
      <w:r>
        <w:rPr>
          <w:b/>
          <w:color w:val="000000"/>
          <w:sz w:val="24"/>
          <w:szCs w:val="24"/>
          <w:lang w:eastAsia="ru-RU"/>
        </w:rPr>
        <w:t>ской области»  (ГП-13)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Законопроектом на 2017-2019 годы не предусмотрено участие Департамента по управлению государственной собственностью Томской области в государственной программе «Обеспечение доступности жилья и улучшение качества жилищных условий населения Томской области» в части приобретения жилых помещений в собственность Томской области в целях дальнейшего предоставления многодетным семьям, имеющим на момент предоставления жилого помещения пять и более несовершеннолетних детей.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В соответствии с решением Бюджетной комиссии по составлению проекта областного бюджета на 2017 год и плановый период 2018 и 2019 годов (от 23.06.2016 № 1)  на рассмотрении находится вопрос о замене меры социальной поддержки по предоставлению жилых помещений многодетным семьям на социальные выплаты в виде предоставления сертификатов на улучшение жилищных условий до нормативной площади, установленной Законом Томской области от 06.09.2006 № 212-ОЗ «О специализированном жилищном фонде Томской области». Указанные меры будут реализовываться Департаментом по вопросам семьи и детей Томской области (Законопроектом на 2017 год расходы на эти цели не предусмотрены).</w:t>
      </w:r>
    </w:p>
    <w:p w:rsidR="00220B3F" w:rsidRPr="0013558B" w:rsidRDefault="00220B3F" w:rsidP="00220B3F">
      <w:pPr>
        <w:ind w:firstLine="709"/>
        <w:rPr>
          <w:rFonts w:eastAsia="Calibri"/>
          <w:sz w:val="24"/>
          <w:szCs w:val="24"/>
        </w:rPr>
      </w:pPr>
      <w:r w:rsidRPr="0013558B">
        <w:rPr>
          <w:rFonts w:eastAsia="Calibri"/>
          <w:sz w:val="24"/>
          <w:szCs w:val="24"/>
        </w:rPr>
        <w:t xml:space="preserve">В части ожидаемого исполнения в 2016 году бюджетных ассигнований на реализацию бюджетных инвестиций </w:t>
      </w:r>
      <w:r w:rsidRPr="0013558B">
        <w:rPr>
          <w:sz w:val="24"/>
          <w:szCs w:val="24"/>
        </w:rPr>
        <w:t>на покупку жилых помещений для предоставления многодетным семьям, имеющим пять и более несовершеннолетних детей, отметим следующее. В феврале текущего года распоряжением Губернатора Томской области от 15.02.2016 № 43-р «О мерах по обеспечению сбалансированности областного бюджета в 2016 году» установлено ограничение кассовых выплат на всю сумму бюджетных ассигнований (56 014,2 тыс.руб.), предусмотренных на приобретение жилых помещений в целях дальнейшего предоставления многодетным семьям, имеющим пять и более несовершеннолетних детей. В июне 2016 года указанное ограничение кассовых выплат частично снято (письмом заместителя Губернатора Томской области - начальника Департамента финансов от 16.06.2016 № АФ-04/10-451) - в части расходов на приобретение жилых помещений для дальнейшего предоставления многодетным семьям, вставшим на учет до 01.01.2014 (5 семей исходя из Списка многодетных семей, формируемого Департаментом по вопросам семьи и детей Томской области).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Распоряжением Администрации Томской области от 07.07.2016 № 469-ра (в ред. от 26.08.2016 № 623-ра) «О приобретении имущества в государственную собственность Томской области» установлен </w:t>
      </w:r>
      <w:r w:rsidRPr="0013558B">
        <w:rPr>
          <w:bCs/>
          <w:sz w:val="24"/>
          <w:szCs w:val="24"/>
        </w:rPr>
        <w:t>перечень объектов недвижимого имущества, приобретаемого в 2016 году в собственность Томской области за счет ассигнований на осуществление бюджетных инвестиций, в количестве 5 жилых помещений на</w:t>
      </w:r>
      <w:r w:rsidRPr="0013558B">
        <w:rPr>
          <w:sz w:val="24"/>
          <w:szCs w:val="24"/>
        </w:rPr>
        <w:t xml:space="preserve"> общую сумму</w:t>
      </w:r>
      <w:r w:rsidRPr="0013558B">
        <w:rPr>
          <w:bCs/>
          <w:sz w:val="24"/>
          <w:szCs w:val="24"/>
        </w:rPr>
        <w:t xml:space="preserve"> 8 355,6 тыс.руб. </w:t>
      </w:r>
      <w:r w:rsidRPr="0013558B">
        <w:rPr>
          <w:sz w:val="24"/>
          <w:szCs w:val="24"/>
        </w:rPr>
        <w:t>Фактически за 9 месяцев текущего года жилые помещения для многодетных семей не приобретались (в настоящее время идут конкурсные процедуры).</w:t>
      </w:r>
    </w:p>
    <w:p w:rsidR="00220B3F" w:rsidRDefault="00220B3F" w:rsidP="00220B3F">
      <w:pPr>
        <w:ind w:firstLine="709"/>
        <w:rPr>
          <w:b/>
          <w:sz w:val="24"/>
          <w:szCs w:val="24"/>
        </w:rPr>
      </w:pPr>
    </w:p>
    <w:p w:rsidR="00220B3F" w:rsidRDefault="00220B3F" w:rsidP="00220B3F">
      <w:pPr>
        <w:ind w:firstLine="567"/>
        <w:rPr>
          <w:b/>
          <w:color w:val="000000"/>
          <w:sz w:val="24"/>
          <w:szCs w:val="24"/>
          <w:lang w:eastAsia="ru-RU"/>
        </w:rPr>
      </w:pPr>
      <w:r w:rsidRPr="00B62625">
        <w:rPr>
          <w:b/>
          <w:color w:val="000000"/>
          <w:sz w:val="24"/>
          <w:szCs w:val="24"/>
          <w:lang w:eastAsia="ru-RU"/>
        </w:rPr>
        <w:t>Государственная программа «Развитие транспор</w:t>
      </w:r>
      <w:r>
        <w:rPr>
          <w:b/>
          <w:color w:val="000000"/>
          <w:sz w:val="24"/>
          <w:szCs w:val="24"/>
          <w:lang w:eastAsia="ru-RU"/>
        </w:rPr>
        <w:t>тной системы в Томской области (ГП-18)</w:t>
      </w:r>
    </w:p>
    <w:p w:rsidR="00220B3F" w:rsidRDefault="00220B3F" w:rsidP="00220B3F">
      <w:pPr>
        <w:ind w:firstLine="567"/>
        <w:rPr>
          <w:sz w:val="24"/>
        </w:rPr>
      </w:pPr>
      <w:r>
        <w:rPr>
          <w:sz w:val="24"/>
        </w:rPr>
        <w:t xml:space="preserve">Единственным направлением расходов областного бюджета на объекты капитального строительства в законопроекте является реализация государственной </w:t>
      </w:r>
      <w:r w:rsidRPr="00B9423B">
        <w:rPr>
          <w:sz w:val="24"/>
        </w:rPr>
        <w:t>программ</w:t>
      </w:r>
      <w:r>
        <w:rPr>
          <w:sz w:val="24"/>
        </w:rPr>
        <w:t xml:space="preserve">ы </w:t>
      </w:r>
      <w:r w:rsidRPr="009F0474">
        <w:rPr>
          <w:sz w:val="24"/>
        </w:rPr>
        <w:t>«Развитие</w:t>
      </w:r>
      <w:r>
        <w:rPr>
          <w:sz w:val="24"/>
        </w:rPr>
        <w:t xml:space="preserve"> транспортной системы в Томской области». Характеристика объектов и объемов бюджетных инвестиций по данной программе приведен</w:t>
      </w:r>
      <w:r w:rsidR="00FB2AE9">
        <w:rPr>
          <w:sz w:val="24"/>
        </w:rPr>
        <w:t>а</w:t>
      </w:r>
      <w:r>
        <w:rPr>
          <w:sz w:val="24"/>
        </w:rPr>
        <w:t xml:space="preserve"> в приложениях 3 и 4 к настоящему заключению.</w:t>
      </w:r>
    </w:p>
    <w:p w:rsidR="00220B3F" w:rsidRDefault="00220B3F" w:rsidP="00220B3F">
      <w:pPr>
        <w:ind w:firstLine="567"/>
        <w:rPr>
          <w:b/>
          <w:color w:val="000000"/>
          <w:sz w:val="24"/>
          <w:szCs w:val="24"/>
          <w:lang w:eastAsia="ru-RU"/>
        </w:rPr>
      </w:pPr>
    </w:p>
    <w:p w:rsidR="00220B3F" w:rsidRPr="00624B41" w:rsidRDefault="00220B3F" w:rsidP="00220B3F">
      <w:pPr>
        <w:ind w:firstLine="708"/>
        <w:rPr>
          <w:sz w:val="24"/>
          <w:szCs w:val="24"/>
        </w:rPr>
      </w:pPr>
      <w:r w:rsidRPr="0013558B">
        <w:rPr>
          <w:b/>
          <w:sz w:val="24"/>
          <w:szCs w:val="24"/>
        </w:rPr>
        <w:t>Государственная программа «Эффективное управление государственным имуществ</w:t>
      </w:r>
      <w:r>
        <w:rPr>
          <w:b/>
          <w:sz w:val="24"/>
          <w:szCs w:val="24"/>
        </w:rPr>
        <w:t>ом Томской области» (далее – ГП</w:t>
      </w:r>
      <w:r w:rsidRPr="0013558B">
        <w:rPr>
          <w:b/>
          <w:sz w:val="24"/>
          <w:szCs w:val="24"/>
        </w:rPr>
        <w:t xml:space="preserve">-22). Замечания к проекту постановления Администрации Томской области «О внесении изменений в постановление Администрации Томской области от 26.11.2014 № 437а «Об утверждении государственной программы «Эффективное управление государственным имуществом Томской области» </w:t>
      </w:r>
      <w:r w:rsidRPr="00624B41">
        <w:rPr>
          <w:sz w:val="24"/>
          <w:szCs w:val="24"/>
        </w:rPr>
        <w:t>(далее – проект постановления)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Согласно паспорту ГП-22 ответственным исполнителем, соисполнителем и участником ГП-22 является Департамент по управлению государственной собственностью Томской области. Цель ГП-22 – повышение эффективности управления государственным имуществом Томской области – достигается путем решения одной задачи: повышение эффективности управления и распоряжения государственным имуществом Томской области (в рамках реализации подпрограммы «Управление государственным имуществом Томской области» по трем ВЦП «Рациональное использование государственного имущества Томской области», «Приватизация областного государственного имущества» и «Совершенствование системы учета и контроля государственного имущества Томской области»).</w:t>
      </w:r>
    </w:p>
    <w:p w:rsidR="00220B3F" w:rsidRPr="0013558B" w:rsidRDefault="00220B3F" w:rsidP="00220B3F">
      <w:pPr>
        <w:spacing w:after="1"/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Проектом постановления «О внесении изменений…» предлагается скорректировать формулировку показателей цели и задачи ГП-22, а также показателя цели подпрограммы «Управление государственным имуществом Томской области», причем без изменения значений данных показателей в планируемом периоде. </w:t>
      </w:r>
    </w:p>
    <w:p w:rsidR="00220B3F" w:rsidRPr="0013558B" w:rsidRDefault="00220B3F" w:rsidP="00220B3F">
      <w:pPr>
        <w:spacing w:after="1"/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Предлагаемая формулировка показателя цели ГП-22 («Доля областного государственного недвижимого имущества (за исключением земельных участков), используемого для выполнения полномочий Томской области, </w:t>
      </w:r>
      <w:r w:rsidRPr="0013558B">
        <w:rPr>
          <w:i/>
          <w:sz w:val="24"/>
          <w:szCs w:val="24"/>
        </w:rPr>
        <w:t>в том числе предоставленного в пользование в установленном законом порядке</w:t>
      </w:r>
      <w:r w:rsidRPr="0013558B">
        <w:rPr>
          <w:sz w:val="24"/>
          <w:szCs w:val="24"/>
        </w:rPr>
        <w:t xml:space="preserve">, от недвижимого имущества, находящегося в собственности Томской области») не соответствует формулировке показателя достижения целей социально-экономического развития Томской области, установленного Стратегией социально-экономического развития Томской области до 2030 года, утвержденной постановлением Законодательной Думы Томской области от 26.03.2015 № 2580, что является несоблюдением п. 10 Методических рекомендаций по разработке государственных программ (приложение № 1 к Порядку принятия решений о разработке государственных программ Томской области, их формирования и реализации, утвержденному постановлением Администрации Томской области от 03.04.2014 № 119а). </w:t>
      </w:r>
    </w:p>
    <w:p w:rsidR="00220B3F" w:rsidRPr="0013558B" w:rsidRDefault="00220B3F" w:rsidP="00220B3F">
      <w:pPr>
        <w:spacing w:after="1"/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Кроме того, предлагаемая корректировка формулировки показателя цели ГП-22 (однозначно приводящая при расчетах к увеличению по сравнению с действующей редакцией показателя доли вышеуказанного областного недвижимого имущества в процентном отношении от общего количества объектов недвижимого имущества, находящегося в собственности Томской области) без изменения значений данного показателя в планируемом периоде (90% - до 2020 года, т.е. на уровне 2015 года) не соответствует критерию адекватности, так как не характеризует степень достижения цели госпрограммы, а свидетельствует о том, что данный показатель уже достигнут, что делает реализацию госпрограммы неактуальной.</w:t>
      </w:r>
    </w:p>
    <w:p w:rsidR="00220B3F" w:rsidRPr="0013558B" w:rsidRDefault="00220B3F" w:rsidP="00220B3F">
      <w:pPr>
        <w:spacing w:after="1"/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Сохранение на уровне 2015 года в неизменном размере на протяжении всего планируемого периода значения показателя доли областного недвижимого имущества (за исключением земельных участков), не используемого для выполнения полномочий Томской области и не</w:t>
      </w:r>
      <w:r w:rsidRPr="0013558B">
        <w:rPr>
          <w:i/>
          <w:sz w:val="24"/>
          <w:szCs w:val="24"/>
        </w:rPr>
        <w:t xml:space="preserve"> </w:t>
      </w:r>
      <w:r w:rsidRPr="0013558B">
        <w:rPr>
          <w:sz w:val="24"/>
          <w:szCs w:val="24"/>
        </w:rPr>
        <w:t xml:space="preserve">предоставленного в пользование в установленном законом порядке (10% от общего количества объектов недвижимого имущества, находящегося в собственности Томской области), не соответствует задачам развития Томской области, установленным Стратегией социально-экономического развития Томской области до 2030 года, свидетельствует об отсутствии действий к достижению цели ГП-22 – повышение эффективности управления государственным имуществом Томской области.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Приведенные в проекте постановления алгоритмы формирования (формулы) расчета предлагаемых показателей цели и задачи  госпрограммы, а также цели подпрограммы не обеспечивают единого понимания измеряемых характеристик и допускают неоднозначное толкование в части определения количества объектов недвижимого имущества, составляющего Казну Томской области, предоставленного в пользование в установленном законом порядке и свободного от прав третьих лиц, в случае предоставления в пользование не в целом объекта недвижимости, а только части его общей площади (помещения).</w:t>
      </w:r>
    </w:p>
    <w:p w:rsidR="00220B3F" w:rsidRPr="0013558B" w:rsidRDefault="00220B3F" w:rsidP="00220B3F">
      <w:pPr>
        <w:spacing w:after="1"/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Контрольно-счетная палата полагает, что требуется доработать вносимые в ГП-22 изменения  в части соблюдения принципа релевантности, установления показателей, соответствующих целям и задачам госпрограммы, ориентированным на конкретный, измеримый результат при управлении и распоряжении государственным имуществом Томской области.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Законопроектом на 2017-2019 годы в рамках реализации ГП-22 запланированы расходы  областного бюджета в ежегодном объеме 86 372,9 тыс.руб. (97,2% к уровню текущего года), в том числе: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- 50 239,1 тыс.руб. ежегодно (95,2% к уровню 2016 г.) – на подпрограмму «Управление государственным имуществом Томской области»;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- 36 133,8 тыс.руб. ежегодно (на уровне 2016 г.) – на обеспечивающую подпрограмму.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Объемы прогнозных расходов областного бюджета на реализацию ГП-22 приведены без обоснований.</w:t>
      </w:r>
      <w:r w:rsidRPr="0013558B">
        <w:rPr>
          <w:b/>
          <w:sz w:val="24"/>
          <w:szCs w:val="24"/>
        </w:rPr>
        <w:t xml:space="preserve"> </w:t>
      </w:r>
      <w:r w:rsidRPr="0013558B">
        <w:rPr>
          <w:sz w:val="24"/>
          <w:szCs w:val="24"/>
        </w:rPr>
        <w:t xml:space="preserve">По результатам анализа дополнительно запрошенных документов у ответственного исполнителя ГП-22 отметим, что планируемый объем бюджетных ассигнований на предоставление в 2017 году субсидий четырем областным бюджетным учреждениям, подведомственным Департаменту по управлению государственной собственностью, в целях финансового обеспечения государственного задания предусмотрен в общей сумме 44 939,4 тыс. руб., что на 10% или на 3 976,8 тыс.руб. больше объема лимитов бюджетных обязательств текущего года, из них: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по ВЦП «Рациональное использование государственного имущества Томской области» – 36 501,3 тыс. руб., в том числе по двум областным госучреждениям на уровне объема субсидий 2016 года (ОГБОУ ДПО «Учебно-методический центр по гражданской обороне и чрезвычайным ситуациям Томской области» – 4 975,2 тыс.руб. и ОГБУ «Томская областная поисково-спасательная служба» – 17 936,8 тыс.руб.), по ОГБСУ «Областное имущественное казначейство» планируемый объем субсидий в сумме 10 686 тыс.руб. увеличен на 59% к уровню текущего года (в целях выполнения работ по подготовке, проверке и отправке документов, формируемых в рамках осуществления функций по управлению госимуществом Томской области), кроме того, предусмотрены субсидии ОГБСУ «Фонд государственного имущества Томской области» в сумме 2 903,3 тыс.руб. (за счет перераспределения ассигнований из ВЦП «Приватизация областного государственного имущества» в целях проведения экспертизы отчетов об оценке рыночной стоимости объектов недвижимости, в том числе земельных участков при оспаривании кадастровой стоимости указанных объектов, а также в целях участия в органах управления хозяйственных обществ, некоммерческих организаций и представления соответствующих документов о результатах их деятельности);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по ВЦП «Совершенствование системы учета и контроля государственного имущества Томской области» – 6 362,7 тыс.руб. (предоставление субсидий ОГБСУ «Областное имущественное казначейство» в планируемом объеме на уровне текущего года на проведение инвентаризации движимого и недвижимого имущества Томской области);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- по ВЦП «Приватизация областного государственного имущества» – 2 075,4 тыс.руб. или 42% к уровню текущего года (субсидии ОГБСУ «Фонд государственного имущества Томской области» на выполнение государственных работ по осуществлению от имени Томской области продажи областного имущества, организации и проведению аукционов на право заключения договоров аренды и безвозмездного пользования областным госимуществом).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>Кроме того, на 2017 год подпрограммой предусмотрены планируемые расходы: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по ВЦП «Приватизация областного государственного имущества» на оценку объектов областного государственного имущества, включенных в Прогнозный план (программу) приватизации в сумме 488 тыс. руб. (на уровне текущего года); </w:t>
      </w:r>
    </w:p>
    <w:p w:rsidR="00220B3F" w:rsidRPr="0013558B" w:rsidRDefault="00220B3F" w:rsidP="00220B3F">
      <w:pPr>
        <w:ind w:firstLine="709"/>
        <w:rPr>
          <w:sz w:val="24"/>
          <w:szCs w:val="24"/>
        </w:rPr>
      </w:pPr>
      <w:r w:rsidRPr="0013558B">
        <w:rPr>
          <w:sz w:val="24"/>
          <w:szCs w:val="24"/>
        </w:rPr>
        <w:t xml:space="preserve">- по ВЦП «Рациональное использование государственного имущества Томской области» на оценку недвижимости, а также признание прав и регулирование отношений по государственной собственности в сумме 4 811,7 тыс. руб. (43% к уровню текущего года в связи с сокращением объема работ по земельным участкам). </w:t>
      </w:r>
    </w:p>
    <w:p w:rsidR="00220B3F" w:rsidRDefault="00220B3F" w:rsidP="00220B3F">
      <w:pPr>
        <w:rPr>
          <w:sz w:val="24"/>
          <w:szCs w:val="24"/>
        </w:rPr>
      </w:pPr>
      <w:r w:rsidRPr="0013558B">
        <w:rPr>
          <w:sz w:val="24"/>
          <w:szCs w:val="24"/>
        </w:rPr>
        <w:tab/>
        <w:t>Прогноз расходов на 2018-2019 годы в целях реализации ГП-22 по трем вышеуказанным ВЦП – на уровне 2017 года.</w:t>
      </w:r>
    </w:p>
    <w:p w:rsidR="00220B3F" w:rsidRDefault="00220B3F" w:rsidP="00220B3F">
      <w:pPr>
        <w:rPr>
          <w:sz w:val="24"/>
          <w:szCs w:val="24"/>
        </w:rPr>
      </w:pPr>
    </w:p>
    <w:p w:rsidR="00220B3F" w:rsidRDefault="00220B3F" w:rsidP="00220B3F">
      <w:pPr>
        <w:rPr>
          <w:sz w:val="24"/>
          <w:szCs w:val="24"/>
          <w:lang w:eastAsia="ru-RU"/>
        </w:rPr>
      </w:pPr>
      <w:r w:rsidRPr="002A2A35">
        <w:rPr>
          <w:b/>
          <w:i/>
          <w:sz w:val="24"/>
          <w:szCs w:val="24"/>
        </w:rPr>
        <w:tab/>
      </w:r>
      <w:r w:rsidRPr="00A864C6">
        <w:rPr>
          <w:b/>
          <w:sz w:val="24"/>
          <w:szCs w:val="24"/>
        </w:rPr>
        <w:t xml:space="preserve">7. </w:t>
      </w:r>
      <w:r w:rsidRPr="00E04C01">
        <w:rPr>
          <w:sz w:val="24"/>
          <w:szCs w:val="24"/>
        </w:rPr>
        <w:t>Характеристики</w:t>
      </w:r>
      <w:r w:rsidRPr="00E04C01">
        <w:rPr>
          <w:sz w:val="24"/>
          <w:szCs w:val="24"/>
          <w:lang w:eastAsia="ru-RU"/>
        </w:rPr>
        <w:t xml:space="preserve"> показателей</w:t>
      </w:r>
      <w:r w:rsidRPr="00A864C6">
        <w:rPr>
          <w:b/>
          <w:sz w:val="24"/>
          <w:szCs w:val="24"/>
          <w:lang w:eastAsia="ru-RU"/>
        </w:rPr>
        <w:t xml:space="preserve"> «Источники финансирования дефицита </w:t>
      </w:r>
      <w:r>
        <w:rPr>
          <w:b/>
          <w:sz w:val="24"/>
          <w:szCs w:val="24"/>
          <w:lang w:eastAsia="ru-RU"/>
        </w:rPr>
        <w:t xml:space="preserve">областного </w:t>
      </w:r>
      <w:r w:rsidRPr="00A864C6">
        <w:rPr>
          <w:b/>
          <w:sz w:val="24"/>
          <w:szCs w:val="24"/>
          <w:lang w:eastAsia="ru-RU"/>
        </w:rPr>
        <w:t>бюджета»</w:t>
      </w:r>
      <w:r>
        <w:rPr>
          <w:b/>
          <w:sz w:val="24"/>
          <w:szCs w:val="24"/>
          <w:lang w:eastAsia="ru-RU"/>
        </w:rPr>
        <w:t>,</w:t>
      </w:r>
      <w:r w:rsidRPr="00A864C6">
        <w:rPr>
          <w:b/>
          <w:sz w:val="24"/>
          <w:szCs w:val="24"/>
          <w:lang w:eastAsia="ru-RU"/>
        </w:rPr>
        <w:t xml:space="preserve"> «Программа государственных внутренних</w:t>
      </w:r>
      <w:r>
        <w:rPr>
          <w:b/>
          <w:sz w:val="24"/>
          <w:szCs w:val="24"/>
          <w:lang w:eastAsia="ru-RU"/>
        </w:rPr>
        <w:t xml:space="preserve"> заимствований Томской области»,</w:t>
      </w:r>
      <w:r w:rsidRPr="00A864C6">
        <w:rPr>
          <w:b/>
          <w:sz w:val="24"/>
          <w:szCs w:val="24"/>
          <w:lang w:eastAsia="ru-RU"/>
        </w:rPr>
        <w:t xml:space="preserve"> «Программа государственных</w:t>
      </w:r>
      <w:r>
        <w:rPr>
          <w:b/>
          <w:sz w:val="24"/>
          <w:szCs w:val="24"/>
          <w:lang w:eastAsia="ru-RU"/>
        </w:rPr>
        <w:t xml:space="preserve"> гарантий Томской области»,</w:t>
      </w:r>
      <w:r w:rsidRPr="00A864C6">
        <w:rPr>
          <w:b/>
          <w:sz w:val="24"/>
          <w:szCs w:val="24"/>
          <w:lang w:eastAsia="ru-RU"/>
        </w:rPr>
        <w:t xml:space="preserve"> «Государственный долг Томской области и расходы на обслу</w:t>
      </w:r>
      <w:r>
        <w:rPr>
          <w:b/>
          <w:sz w:val="24"/>
          <w:szCs w:val="24"/>
          <w:lang w:eastAsia="ru-RU"/>
        </w:rPr>
        <w:t>живание Государственного долга»,</w:t>
      </w:r>
      <w:r w:rsidRPr="00B4756B">
        <w:rPr>
          <w:sz w:val="24"/>
          <w:szCs w:val="24"/>
          <w:lang w:eastAsia="ru-RU"/>
        </w:rPr>
        <w:t xml:space="preserve"> их</w:t>
      </w:r>
      <w:r>
        <w:rPr>
          <w:sz w:val="24"/>
          <w:szCs w:val="24"/>
          <w:lang w:eastAsia="ru-RU"/>
        </w:rPr>
        <w:t xml:space="preserve"> содержание и</w:t>
      </w:r>
      <w:r w:rsidRPr="00B4756B">
        <w:rPr>
          <w:sz w:val="24"/>
          <w:szCs w:val="24"/>
          <w:lang w:eastAsia="ru-RU"/>
        </w:rPr>
        <w:t xml:space="preserve"> соответствие требованиям бюджетного законодательства</w:t>
      </w:r>
      <w:r w:rsidRPr="00A864C6">
        <w:rPr>
          <w:b/>
          <w:sz w:val="24"/>
          <w:szCs w:val="24"/>
          <w:lang w:eastAsia="ru-RU"/>
        </w:rPr>
        <w:t xml:space="preserve"> </w:t>
      </w:r>
      <w:r w:rsidRPr="00E04C01">
        <w:rPr>
          <w:sz w:val="24"/>
          <w:szCs w:val="24"/>
          <w:lang w:eastAsia="ru-RU"/>
        </w:rPr>
        <w:t xml:space="preserve">приведены в Приложении </w:t>
      </w:r>
      <w:r>
        <w:rPr>
          <w:sz w:val="24"/>
          <w:szCs w:val="24"/>
          <w:lang w:eastAsia="ru-RU"/>
        </w:rPr>
        <w:t xml:space="preserve">5. </w:t>
      </w:r>
    </w:p>
    <w:p w:rsidR="00220B3F" w:rsidRDefault="00220B3F" w:rsidP="00220B3F">
      <w:pPr>
        <w:spacing w:before="120"/>
        <w:ind w:firstLine="709"/>
        <w:rPr>
          <w:sz w:val="24"/>
          <w:szCs w:val="24"/>
          <w:lang w:eastAsia="ru-RU"/>
        </w:rPr>
      </w:pPr>
    </w:p>
    <w:p w:rsidR="00220B3F" w:rsidRPr="00FF3DE5" w:rsidRDefault="00220B3F" w:rsidP="00220B3F">
      <w:pPr>
        <w:spacing w:before="120" w:after="120"/>
        <w:ind w:firstLine="709"/>
        <w:rPr>
          <w:b/>
          <w:sz w:val="24"/>
          <w:szCs w:val="24"/>
        </w:rPr>
      </w:pPr>
      <w:r w:rsidRPr="00FF3DE5">
        <w:rPr>
          <w:b/>
          <w:bCs/>
          <w:sz w:val="24"/>
          <w:szCs w:val="24"/>
          <w:lang w:eastAsia="ru-RU"/>
        </w:rPr>
        <w:t xml:space="preserve">На основании изложенного в настоящем </w:t>
      </w:r>
      <w:r>
        <w:rPr>
          <w:b/>
          <w:bCs/>
          <w:sz w:val="24"/>
          <w:szCs w:val="24"/>
          <w:lang w:eastAsia="ru-RU"/>
        </w:rPr>
        <w:t>з</w:t>
      </w:r>
      <w:r w:rsidRPr="00FF3DE5">
        <w:rPr>
          <w:b/>
          <w:bCs/>
          <w:sz w:val="24"/>
          <w:szCs w:val="24"/>
          <w:lang w:eastAsia="ru-RU"/>
        </w:rPr>
        <w:t xml:space="preserve">аключении </w:t>
      </w:r>
      <w:r w:rsidRPr="00FF3DE5">
        <w:rPr>
          <w:b/>
          <w:sz w:val="24"/>
          <w:szCs w:val="24"/>
        </w:rPr>
        <w:t xml:space="preserve">Контрольно-счетная палата Томской области </w:t>
      </w:r>
      <w:r>
        <w:rPr>
          <w:b/>
          <w:sz w:val="24"/>
          <w:szCs w:val="24"/>
        </w:rPr>
        <w:t xml:space="preserve">сообщает </w:t>
      </w:r>
      <w:r w:rsidRPr="00FF3DE5">
        <w:rPr>
          <w:b/>
          <w:sz w:val="24"/>
          <w:szCs w:val="24"/>
        </w:rPr>
        <w:t>следующее:</w:t>
      </w:r>
    </w:p>
    <w:p w:rsidR="00220B3F" w:rsidRPr="00F65626" w:rsidRDefault="00220B3F" w:rsidP="00220B3F">
      <w:pPr>
        <w:ind w:firstLine="709"/>
        <w:rPr>
          <w:sz w:val="24"/>
          <w:szCs w:val="24"/>
          <w:lang w:eastAsia="ru-RU"/>
        </w:rPr>
      </w:pPr>
      <w:r w:rsidRPr="00F65626">
        <w:rPr>
          <w:sz w:val="24"/>
          <w:szCs w:val="24"/>
          <w:lang w:eastAsia="ru-RU"/>
        </w:rPr>
        <w:t>1. Законопроект в целом соответствует требованиям бюджетного законодательства и может быть принят в первом чтении.</w:t>
      </w:r>
    </w:p>
    <w:p w:rsidR="00220B3F" w:rsidRPr="00064B7A" w:rsidRDefault="00220B3F" w:rsidP="00220B3F">
      <w:pPr>
        <w:ind w:firstLine="709"/>
        <w:contextualSpacing/>
        <w:rPr>
          <w:sz w:val="24"/>
          <w:szCs w:val="24"/>
        </w:rPr>
      </w:pPr>
      <w:r w:rsidRPr="00064B7A">
        <w:rPr>
          <w:sz w:val="24"/>
          <w:szCs w:val="24"/>
        </w:rPr>
        <w:t>Документы и материалы, представленные вместе с проектом бюджета, соответствуют перечню, установленному статьей 184.2 Бюджетного кодекса РФ</w:t>
      </w:r>
      <w:r w:rsidR="00054A9C">
        <w:rPr>
          <w:sz w:val="24"/>
          <w:szCs w:val="24"/>
        </w:rPr>
        <w:t xml:space="preserve">. </w:t>
      </w:r>
    </w:p>
    <w:p w:rsidR="00220B3F" w:rsidRPr="00370742" w:rsidRDefault="00220B3F" w:rsidP="00220B3F">
      <w:pPr>
        <w:spacing w:before="120" w:after="120"/>
        <w:ind w:firstLine="709"/>
        <w:rPr>
          <w:sz w:val="24"/>
          <w:szCs w:val="24"/>
        </w:rPr>
      </w:pPr>
      <w:r w:rsidRPr="002F368F">
        <w:rPr>
          <w:sz w:val="24"/>
          <w:szCs w:val="24"/>
          <w:lang w:eastAsia="ru-RU"/>
        </w:rPr>
        <w:t>2.</w:t>
      </w:r>
      <w:r w:rsidRPr="002F368F">
        <w:rPr>
          <w:sz w:val="24"/>
          <w:szCs w:val="24"/>
        </w:rPr>
        <w:t xml:space="preserve"> Анализ</w:t>
      </w:r>
      <w:r w:rsidRPr="009539A0">
        <w:rPr>
          <w:sz w:val="24"/>
          <w:szCs w:val="24"/>
        </w:rPr>
        <w:t xml:space="preserve"> документов, на основе которых составлен проект бюджета, показал недостаточно тесную увязку их с показателями, утвержденными в Стратегии развития Томской области до 2030 года. </w:t>
      </w:r>
      <w:r>
        <w:rPr>
          <w:sz w:val="24"/>
          <w:szCs w:val="24"/>
        </w:rPr>
        <w:t xml:space="preserve">По ряду значений показатели Прогноза социально-экономического развития Томской области на 2017-2019 годы значительно снижены, в том числе темпы прироста валового регионального продукта  к базовому сценарию Стратегии </w:t>
      </w:r>
      <w:r w:rsidRPr="00370742">
        <w:rPr>
          <w:sz w:val="24"/>
          <w:szCs w:val="24"/>
        </w:rPr>
        <w:t>на 1,2; 1,0 и 0,6 пп. соответственно.</w:t>
      </w:r>
      <w:r>
        <w:rPr>
          <w:sz w:val="24"/>
          <w:szCs w:val="24"/>
        </w:rPr>
        <w:t xml:space="preserve"> </w:t>
      </w:r>
    </w:p>
    <w:p w:rsidR="00220B3F" w:rsidRPr="0008450D" w:rsidRDefault="00220B3F" w:rsidP="00220B3F">
      <w:pPr>
        <w:spacing w:before="120" w:after="120"/>
        <w:ind w:firstLine="709"/>
        <w:rPr>
          <w:sz w:val="24"/>
          <w:szCs w:val="24"/>
          <w:lang w:eastAsia="ru-RU"/>
        </w:rPr>
      </w:pPr>
      <w:r w:rsidRPr="0008450D">
        <w:rPr>
          <w:sz w:val="24"/>
          <w:szCs w:val="24"/>
          <w:lang w:eastAsia="ru-RU"/>
        </w:rPr>
        <w:t xml:space="preserve">3. </w:t>
      </w:r>
      <w:r w:rsidRPr="0008450D">
        <w:rPr>
          <w:sz w:val="24"/>
          <w:szCs w:val="24"/>
        </w:rPr>
        <w:t xml:space="preserve">Анализ прогнозных показателей по доходам областного бюджета, в том числе </w:t>
      </w:r>
      <w:r w:rsidR="00FB2AE9">
        <w:rPr>
          <w:sz w:val="24"/>
          <w:szCs w:val="24"/>
        </w:rPr>
        <w:t xml:space="preserve">по </w:t>
      </w:r>
      <w:r w:rsidRPr="0008450D">
        <w:rPr>
          <w:sz w:val="24"/>
          <w:szCs w:val="24"/>
        </w:rPr>
        <w:t>доходам от использования</w:t>
      </w:r>
      <w:r w:rsidRPr="006E5493">
        <w:rPr>
          <w:sz w:val="24"/>
          <w:szCs w:val="24"/>
        </w:rPr>
        <w:t xml:space="preserve"> имущества, находящегося в государственной и муниципальной собственности,  свидетельствует как о наличии резервов, не учтенных при прогнозировании, так и о существующих рисках неисполнения прогноза поступлений </w:t>
      </w:r>
      <w:r w:rsidRPr="006E5493">
        <w:rPr>
          <w:snapToGrid w:val="0"/>
          <w:sz w:val="24"/>
          <w:szCs w:val="24"/>
        </w:rPr>
        <w:t>в 2017-2019 годах.</w:t>
      </w:r>
    </w:p>
    <w:p w:rsidR="00220B3F" w:rsidRDefault="00220B3F" w:rsidP="00220B3F">
      <w:pPr>
        <w:spacing w:before="120" w:after="120"/>
        <w:ind w:firstLine="709"/>
        <w:rPr>
          <w:sz w:val="24"/>
          <w:szCs w:val="24"/>
        </w:rPr>
      </w:pPr>
      <w:r w:rsidRPr="0008450D">
        <w:rPr>
          <w:sz w:val="24"/>
          <w:szCs w:val="24"/>
        </w:rPr>
        <w:t xml:space="preserve">4. </w:t>
      </w:r>
      <w:r w:rsidRPr="00E73F3D">
        <w:rPr>
          <w:sz w:val="24"/>
          <w:szCs w:val="24"/>
        </w:rPr>
        <w:t xml:space="preserve">Структура расходов областного бюджета в разрезе пяти стратегических целей </w:t>
      </w:r>
      <w:r w:rsidRPr="00E73F3D">
        <w:rPr>
          <w:iCs/>
          <w:sz w:val="24"/>
          <w:szCs w:val="24"/>
        </w:rPr>
        <w:t>социально-экономического развития Томской области сохранила социальную направленность и его ориентацию на выполнение социальных обязательств.</w:t>
      </w:r>
      <w:r w:rsidRPr="00E73F3D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73F3D">
        <w:rPr>
          <w:sz w:val="24"/>
          <w:szCs w:val="24"/>
        </w:rPr>
        <w:t>осле определения объемов межбюджетных трансфертов</w:t>
      </w:r>
      <w:r>
        <w:rPr>
          <w:sz w:val="24"/>
          <w:szCs w:val="24"/>
        </w:rPr>
        <w:t xml:space="preserve"> из федерального бюджета возможно, что расходы</w:t>
      </w:r>
      <w:r w:rsidRPr="00E73F3D">
        <w:rPr>
          <w:sz w:val="24"/>
          <w:szCs w:val="24"/>
        </w:rPr>
        <w:t xml:space="preserve"> претерпят структурные изменения в пользу направлений, обеспечивающих социально-экономическое развитие региона, однако по запланированной проектом бюджета структуре бюджетных ассигнований приоритетность в расходах закреплена не за экономическим и инфраструктурным развитием региона, </w:t>
      </w:r>
      <w:r>
        <w:rPr>
          <w:sz w:val="24"/>
          <w:szCs w:val="24"/>
        </w:rPr>
        <w:t xml:space="preserve">тогда как </w:t>
      </w:r>
      <w:r w:rsidRPr="00E73F3D">
        <w:rPr>
          <w:sz w:val="24"/>
          <w:szCs w:val="24"/>
        </w:rPr>
        <w:t>реализация социальных приоритетов невозможна без соответствующего обеспечения условий для экономического роста.</w:t>
      </w:r>
    </w:p>
    <w:p w:rsidR="00220B3F" w:rsidRDefault="00220B3F" w:rsidP="00220B3F">
      <w:pPr>
        <w:pStyle w:val="24"/>
        <w:shd w:val="clear" w:color="auto" w:fill="auto"/>
        <w:tabs>
          <w:tab w:val="left" w:pos="1202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Проектом бюджета учтена приоритетность выделения бюджетных инвестиций на строительство переходящих объектов - 95% от общего объема средств (по Приложению 9) направлено на переходящие объекты. При этом из 13 учтенных объектов запланированный объем финансирования на 2017-2019 годы по 6 объектам является недостаточным для завершения строительства (или проектирования) в указанный период. Финансирование капитальных вложений предусматривается только по одной государственной программе – «Развитие транспортной системы в Томской области».</w:t>
      </w:r>
    </w:p>
    <w:p w:rsidR="00220B3F" w:rsidRDefault="00220B3F" w:rsidP="00220B3F">
      <w:pPr>
        <w:pStyle w:val="24"/>
        <w:shd w:val="clear" w:color="auto" w:fill="auto"/>
        <w:tabs>
          <w:tab w:val="left" w:pos="113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проект бюджета не включены ассигнования на 15 объектов капитального строительства, строительство (реконструкция) которых начато в предшествующих либо текущем финансовом годах и осуществлялось с использованием средств областного и (или) федерального бюджета. Остаток сметной стоимости незавершенных строительством объектов в ценах 2017 года составляет 3 178,1 млн. руб. Кроме того, по 55 объектам подготовлена проектная документация за счет средств областного бюджета, выделенных в предшествующие годы, но их финансирование законопроектом не предусматривается. Сметная стоимость строительства объектов, имеющих проектную документацию, составляет в ценах 2017 года 17 496,5 млн.руб.</w:t>
      </w:r>
    </w:p>
    <w:p w:rsidR="00220B3F" w:rsidRDefault="00220B3F" w:rsidP="00220B3F">
      <w:pPr>
        <w:ind w:firstLine="709"/>
        <w:rPr>
          <w:sz w:val="24"/>
          <w:szCs w:val="24"/>
        </w:rPr>
      </w:pPr>
    </w:p>
    <w:p w:rsidR="00220B3F" w:rsidRPr="00064B7A" w:rsidRDefault="00220B3F" w:rsidP="00220B3F">
      <w:pPr>
        <w:ind w:firstLine="709"/>
        <w:rPr>
          <w:b/>
          <w:sz w:val="24"/>
          <w:szCs w:val="24"/>
        </w:rPr>
      </w:pPr>
      <w:r w:rsidRPr="00064B7A">
        <w:rPr>
          <w:sz w:val="24"/>
          <w:szCs w:val="24"/>
        </w:rPr>
        <w:t>6. Проект областного бюджета сформирован с дефицитом, который составит в 2017 году</w:t>
      </w:r>
      <w:r w:rsidR="00FB2AE9">
        <w:rPr>
          <w:sz w:val="24"/>
          <w:szCs w:val="24"/>
        </w:rPr>
        <w:t xml:space="preserve"> </w:t>
      </w:r>
      <w:r w:rsidRPr="00064B7A">
        <w:rPr>
          <w:sz w:val="24"/>
          <w:szCs w:val="24"/>
        </w:rPr>
        <w:t xml:space="preserve"> 2 653,9</w:t>
      </w:r>
      <w:r w:rsidRPr="00064B7A">
        <w:rPr>
          <w:b/>
          <w:sz w:val="24"/>
          <w:szCs w:val="24"/>
        </w:rPr>
        <w:t xml:space="preserve"> </w:t>
      </w:r>
      <w:r w:rsidRPr="00064B7A">
        <w:rPr>
          <w:sz w:val="24"/>
          <w:szCs w:val="24"/>
        </w:rPr>
        <w:t>млн. руб., в 2018 году – 1 877,2</w:t>
      </w:r>
      <w:r w:rsidRPr="00064B7A">
        <w:rPr>
          <w:b/>
          <w:sz w:val="24"/>
          <w:szCs w:val="24"/>
        </w:rPr>
        <w:t xml:space="preserve"> </w:t>
      </w:r>
      <w:r w:rsidRPr="00064B7A">
        <w:rPr>
          <w:sz w:val="24"/>
          <w:szCs w:val="24"/>
        </w:rPr>
        <w:t>млн. руб., в 2019 году – 498,9</w:t>
      </w:r>
      <w:r w:rsidRPr="00064B7A">
        <w:rPr>
          <w:b/>
          <w:sz w:val="24"/>
          <w:szCs w:val="24"/>
        </w:rPr>
        <w:t xml:space="preserve"> </w:t>
      </w:r>
      <w:r w:rsidRPr="00064B7A">
        <w:rPr>
          <w:sz w:val="24"/>
          <w:szCs w:val="24"/>
        </w:rPr>
        <w:t>млн. руб.</w:t>
      </w:r>
      <w:r w:rsidRPr="00064B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64B7A">
        <w:rPr>
          <w:sz w:val="24"/>
          <w:szCs w:val="24"/>
        </w:rPr>
        <w:t>Отношение дефицита бюджета к доходам без учета безвозмездных поступлений в 2017 году составит 5,5%, в 201</w:t>
      </w:r>
      <w:r>
        <w:rPr>
          <w:sz w:val="24"/>
          <w:szCs w:val="24"/>
        </w:rPr>
        <w:t>8 году – 3,8%, в 2019 году - 1%, что не превышает значений, установленных Бюджетным кодексом РФ.</w:t>
      </w:r>
    </w:p>
    <w:p w:rsidR="00220B3F" w:rsidRPr="00064B7A" w:rsidRDefault="00220B3F" w:rsidP="00220B3F">
      <w:pPr>
        <w:ind w:firstLine="709"/>
        <w:rPr>
          <w:color w:val="000000"/>
          <w:sz w:val="24"/>
          <w:szCs w:val="24"/>
        </w:rPr>
      </w:pPr>
      <w:r w:rsidRPr="00064B7A">
        <w:rPr>
          <w:color w:val="000000"/>
          <w:sz w:val="24"/>
          <w:szCs w:val="24"/>
        </w:rPr>
        <w:t>Объем государственного долга Томской области увеличится с 27 098,8 млн.руб. в 2016 году до 29 693,4 млн.руб. в 2017 году, или на 9,6%. В период 2018-2019 годов также планируется увеличение об</w:t>
      </w:r>
      <w:r>
        <w:rPr>
          <w:color w:val="000000"/>
          <w:sz w:val="24"/>
          <w:szCs w:val="24"/>
        </w:rPr>
        <w:t>ъема государственного долга:</w:t>
      </w:r>
      <w:r w:rsidRPr="00064B7A">
        <w:rPr>
          <w:color w:val="000000"/>
          <w:sz w:val="24"/>
          <w:szCs w:val="24"/>
        </w:rPr>
        <w:t xml:space="preserve"> в 2018 году на 1 843,6 млн.руб., или на 6,2%; в 2019 на 486,6 млн.руб., или на 1,5%.</w:t>
      </w:r>
    </w:p>
    <w:p w:rsidR="00220B3F" w:rsidRPr="00F65626" w:rsidRDefault="00220B3F" w:rsidP="00220B3F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B3F" w:rsidRPr="00254778" w:rsidRDefault="00220B3F" w:rsidP="00220B3F">
      <w:pPr>
        <w:ind w:firstLine="709"/>
      </w:pPr>
    </w:p>
    <w:p w:rsidR="00220B3F" w:rsidRPr="00F65626" w:rsidRDefault="00220B3F" w:rsidP="00220B3F">
      <w:pPr>
        <w:ind w:firstLine="709"/>
        <w:rPr>
          <w:i/>
        </w:rPr>
      </w:pPr>
    </w:p>
    <w:p w:rsidR="00220B3F" w:rsidRDefault="00220B3F" w:rsidP="00220B3F">
      <w:pPr>
        <w:ind w:firstLine="709"/>
      </w:pPr>
    </w:p>
    <w:p w:rsidR="00220B3F" w:rsidRDefault="00220B3F" w:rsidP="00220B3F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</w:t>
      </w:r>
    </w:p>
    <w:p w:rsidR="00220B3F" w:rsidRDefault="00220B3F" w:rsidP="00220B3F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Контрольно-счетной палаты</w:t>
      </w:r>
    </w:p>
    <w:p w:rsidR="00220B3F" w:rsidRPr="00686A6D" w:rsidRDefault="00220B3F" w:rsidP="00220B3F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Томской области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А.Д. Пронькин</w:t>
      </w:r>
    </w:p>
    <w:p w:rsidR="00FD00B9" w:rsidRDefault="00FD00B9"/>
    <w:sectPr w:rsidR="00FD00B9" w:rsidSect="00220B3F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E1" w:rsidRDefault="005C60BD">
      <w:r>
        <w:separator/>
      </w:r>
    </w:p>
  </w:endnote>
  <w:endnote w:type="continuationSeparator" w:id="0">
    <w:p w:rsidR="009B14E1" w:rsidRDefault="005C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E1" w:rsidRDefault="005C60BD">
      <w:r>
        <w:separator/>
      </w:r>
    </w:p>
  </w:footnote>
  <w:footnote w:type="continuationSeparator" w:id="0">
    <w:p w:rsidR="009B14E1" w:rsidRDefault="005C6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3F" w:rsidRDefault="00220B3F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D83DD2">
      <w:rPr>
        <w:noProof/>
      </w:rPr>
      <w:t>19</w:t>
    </w:r>
    <w:r>
      <w:rPr>
        <w:noProof/>
      </w:rPr>
      <w:fldChar w:fldCharType="end"/>
    </w:r>
  </w:p>
  <w:p w:rsidR="00220B3F" w:rsidRDefault="00220B3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001"/>
    <w:multiLevelType w:val="hybridMultilevel"/>
    <w:tmpl w:val="21D8A6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61328"/>
    <w:multiLevelType w:val="hybridMultilevel"/>
    <w:tmpl w:val="7E7A9E42"/>
    <w:lvl w:ilvl="0" w:tplc="ED8CDD5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12327F0"/>
    <w:multiLevelType w:val="hybridMultilevel"/>
    <w:tmpl w:val="9762087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A1F1E"/>
    <w:multiLevelType w:val="hybridMultilevel"/>
    <w:tmpl w:val="FB70B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C21147"/>
    <w:multiLevelType w:val="hybridMultilevel"/>
    <w:tmpl w:val="FBB868F4"/>
    <w:lvl w:ilvl="0" w:tplc="8BE6761E">
      <w:start w:val="8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0A2D99"/>
    <w:multiLevelType w:val="hybridMultilevel"/>
    <w:tmpl w:val="0CAC895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33C28"/>
    <w:multiLevelType w:val="hybridMultilevel"/>
    <w:tmpl w:val="36F256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610DD4"/>
    <w:multiLevelType w:val="hybridMultilevel"/>
    <w:tmpl w:val="565EA73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06679"/>
    <w:multiLevelType w:val="hybridMultilevel"/>
    <w:tmpl w:val="57FA827E"/>
    <w:lvl w:ilvl="0" w:tplc="04190001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C577D"/>
    <w:multiLevelType w:val="hybridMultilevel"/>
    <w:tmpl w:val="637E5C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17AFE"/>
    <w:multiLevelType w:val="hybridMultilevel"/>
    <w:tmpl w:val="CDF6D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6F634E"/>
    <w:multiLevelType w:val="hybridMultilevel"/>
    <w:tmpl w:val="8F3458D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3BC7C62"/>
    <w:multiLevelType w:val="hybridMultilevel"/>
    <w:tmpl w:val="1DBC068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73071"/>
    <w:multiLevelType w:val="hybridMultilevel"/>
    <w:tmpl w:val="11B4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E24B0"/>
    <w:multiLevelType w:val="hybridMultilevel"/>
    <w:tmpl w:val="5CA45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757919"/>
    <w:multiLevelType w:val="hybridMultilevel"/>
    <w:tmpl w:val="20A25AF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8410E"/>
    <w:multiLevelType w:val="hybridMultilevel"/>
    <w:tmpl w:val="0418770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83DB4"/>
    <w:multiLevelType w:val="hybridMultilevel"/>
    <w:tmpl w:val="DBC4AC5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31B79"/>
    <w:multiLevelType w:val="hybridMultilevel"/>
    <w:tmpl w:val="46441C8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66D71"/>
    <w:multiLevelType w:val="hybridMultilevel"/>
    <w:tmpl w:val="285CD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6A92F78"/>
    <w:multiLevelType w:val="hybridMultilevel"/>
    <w:tmpl w:val="BBC60F4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1">
    <w:nsid w:val="6767235F"/>
    <w:multiLevelType w:val="hybridMultilevel"/>
    <w:tmpl w:val="6F940A42"/>
    <w:lvl w:ilvl="0" w:tplc="8FDC5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836ACB"/>
    <w:multiLevelType w:val="hybridMultilevel"/>
    <w:tmpl w:val="8E782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146E3F"/>
    <w:multiLevelType w:val="hybridMultilevel"/>
    <w:tmpl w:val="FC4C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B38C4"/>
    <w:multiLevelType w:val="hybridMultilevel"/>
    <w:tmpl w:val="044AF18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D559A"/>
    <w:multiLevelType w:val="hybridMultilevel"/>
    <w:tmpl w:val="68109E2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6">
    <w:nsid w:val="716206C9"/>
    <w:multiLevelType w:val="hybridMultilevel"/>
    <w:tmpl w:val="1F74F5A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B5952"/>
    <w:multiLevelType w:val="hybridMultilevel"/>
    <w:tmpl w:val="A998D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AF39F0"/>
    <w:multiLevelType w:val="hybridMultilevel"/>
    <w:tmpl w:val="E25E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"/>
  </w:num>
  <w:num w:numId="4">
    <w:abstractNumId w:val="2"/>
  </w:num>
  <w:num w:numId="5">
    <w:abstractNumId w:val="26"/>
  </w:num>
  <w:num w:numId="6">
    <w:abstractNumId w:val="0"/>
  </w:num>
  <w:num w:numId="7">
    <w:abstractNumId w:val="21"/>
  </w:num>
  <w:num w:numId="8">
    <w:abstractNumId w:val="24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9"/>
  </w:num>
  <w:num w:numId="15">
    <w:abstractNumId w:val="11"/>
  </w:num>
  <w:num w:numId="16">
    <w:abstractNumId w:val="16"/>
  </w:num>
  <w:num w:numId="17">
    <w:abstractNumId w:val="15"/>
  </w:num>
  <w:num w:numId="18">
    <w:abstractNumId w:val="7"/>
  </w:num>
  <w:num w:numId="19">
    <w:abstractNumId w:val="12"/>
  </w:num>
  <w:num w:numId="20">
    <w:abstractNumId w:val="13"/>
  </w:num>
  <w:num w:numId="21">
    <w:abstractNumId w:val="18"/>
  </w:num>
  <w:num w:numId="22">
    <w:abstractNumId w:val="5"/>
  </w:num>
  <w:num w:numId="23">
    <w:abstractNumId w:val="17"/>
  </w:num>
  <w:num w:numId="24">
    <w:abstractNumId w:val="23"/>
  </w:num>
  <w:num w:numId="25">
    <w:abstractNumId w:val="20"/>
  </w:num>
  <w:num w:numId="26">
    <w:abstractNumId w:val="1"/>
  </w:num>
  <w:num w:numId="27">
    <w:abstractNumId w:val="27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3F"/>
    <w:rsid w:val="00054A9C"/>
    <w:rsid w:val="000A6E64"/>
    <w:rsid w:val="00120CFD"/>
    <w:rsid w:val="00220B3F"/>
    <w:rsid w:val="00232647"/>
    <w:rsid w:val="00286B1C"/>
    <w:rsid w:val="002944E6"/>
    <w:rsid w:val="004B535B"/>
    <w:rsid w:val="004E4A90"/>
    <w:rsid w:val="004F7ADF"/>
    <w:rsid w:val="0052245A"/>
    <w:rsid w:val="005559BF"/>
    <w:rsid w:val="005A2869"/>
    <w:rsid w:val="005C60BD"/>
    <w:rsid w:val="00611E7B"/>
    <w:rsid w:val="007C02DE"/>
    <w:rsid w:val="009B14E1"/>
    <w:rsid w:val="00AB631B"/>
    <w:rsid w:val="00D83DD2"/>
    <w:rsid w:val="00FB2AE9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B3F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20B3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color w:val="365F91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0B3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0B3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20B3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color w:val="4F81BD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20B3F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20B3F"/>
    <w:pPr>
      <w:spacing w:before="280" w:after="100"/>
      <w:ind w:firstLine="0"/>
      <w:outlineLvl w:val="5"/>
    </w:pPr>
    <w:rPr>
      <w:rFonts w:ascii="Cambria" w:hAnsi="Cambria"/>
      <w:i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20B3F"/>
    <w:pPr>
      <w:spacing w:before="320" w:after="100"/>
      <w:ind w:firstLine="0"/>
      <w:outlineLvl w:val="6"/>
    </w:pPr>
    <w:rPr>
      <w:rFonts w:ascii="Cambria" w:hAnsi="Cambria"/>
      <w:b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20B3F"/>
    <w:pPr>
      <w:spacing w:before="320" w:after="100"/>
      <w:ind w:firstLine="0"/>
      <w:outlineLvl w:val="7"/>
    </w:pPr>
    <w:rPr>
      <w:rFonts w:ascii="Cambria" w:hAnsi="Cambria"/>
      <w:b/>
      <w:i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20B3F"/>
    <w:pPr>
      <w:spacing w:before="320" w:after="100"/>
      <w:ind w:firstLine="0"/>
      <w:outlineLvl w:val="8"/>
    </w:pPr>
    <w:rPr>
      <w:rFonts w:ascii="Cambria" w:hAnsi="Cambria"/>
      <w:i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0B3F"/>
    <w:rPr>
      <w:rFonts w:ascii="Cambria" w:eastAsia="Times New Roman" w:hAnsi="Cambria" w:cs="Times New Roman"/>
      <w:b/>
      <w:color w:val="365F91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0B3F"/>
    <w:rPr>
      <w:rFonts w:ascii="Cambria" w:eastAsia="Times New Roman" w:hAnsi="Cambria" w:cs="Times New Roman"/>
      <w:color w:val="365F91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0B3F"/>
    <w:rPr>
      <w:rFonts w:ascii="Cambria" w:eastAsia="Times New Roman" w:hAnsi="Cambria" w:cs="Times New Roman"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20B3F"/>
    <w:rPr>
      <w:rFonts w:ascii="Cambria" w:eastAsia="Times New Roman" w:hAnsi="Cambria" w:cs="Times New Roman"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20B3F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20B3F"/>
    <w:rPr>
      <w:rFonts w:ascii="Cambria" w:eastAsia="Times New Roman" w:hAnsi="Cambria" w:cs="Times New Roman"/>
      <w:i/>
      <w:color w:val="4F81BD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20B3F"/>
    <w:rPr>
      <w:rFonts w:ascii="Cambria" w:eastAsia="Times New Roman" w:hAnsi="Cambria" w:cs="Times New Roman"/>
      <w:b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20B3F"/>
    <w:rPr>
      <w:rFonts w:ascii="Cambria" w:eastAsia="Times New Roman" w:hAnsi="Cambria" w:cs="Times New Roman"/>
      <w:b/>
      <w:i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20B3F"/>
    <w:rPr>
      <w:rFonts w:ascii="Cambria" w:eastAsia="Times New Roman" w:hAnsi="Cambria" w:cs="Times New Roman"/>
      <w:i/>
      <w:color w:val="9BBB59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20B3F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220B3F"/>
    <w:rPr>
      <w:rFonts w:ascii="Tahoma" w:hAnsi="Tahoma"/>
      <w:sz w:val="16"/>
      <w:szCs w:val="20"/>
      <w:lang w:eastAsia="ru-RU"/>
    </w:rPr>
  </w:style>
  <w:style w:type="paragraph" w:customStyle="1" w:styleId="21">
    <w:name w:val="Список 21"/>
    <w:basedOn w:val="a"/>
    <w:uiPriority w:val="99"/>
    <w:rsid w:val="00220B3F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31">
    <w:name w:val="Список 31"/>
    <w:basedOn w:val="a"/>
    <w:uiPriority w:val="99"/>
    <w:rsid w:val="00220B3F"/>
    <w:pPr>
      <w:suppressAutoHyphens/>
      <w:ind w:left="849" w:hanging="283"/>
    </w:pPr>
    <w:rPr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220B3F"/>
    <w:pPr>
      <w:ind w:left="720"/>
      <w:contextualSpacing/>
    </w:pPr>
  </w:style>
  <w:style w:type="character" w:customStyle="1" w:styleId="a6">
    <w:name w:val="Текст примечания Знак"/>
    <w:basedOn w:val="a0"/>
    <w:link w:val="a7"/>
    <w:uiPriority w:val="99"/>
    <w:semiHidden/>
    <w:rsid w:val="00220B3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rsid w:val="00220B3F"/>
    <w:rPr>
      <w:rFonts w:ascii="Calibri" w:hAnsi="Calibri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220B3F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rsid w:val="00220B3F"/>
    <w:rPr>
      <w:b/>
    </w:rPr>
  </w:style>
  <w:style w:type="paragraph" w:styleId="aa">
    <w:name w:val="caption"/>
    <w:basedOn w:val="a"/>
    <w:next w:val="a"/>
    <w:uiPriority w:val="99"/>
    <w:qFormat/>
    <w:rsid w:val="00220B3F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220B3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color w:val="243F60"/>
      <w:sz w:val="60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220B3F"/>
    <w:rPr>
      <w:rFonts w:ascii="Cambria" w:eastAsia="Times New Roman" w:hAnsi="Cambria" w:cs="Times New Roman"/>
      <w:i/>
      <w:color w:val="243F60"/>
      <w:sz w:val="6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220B3F"/>
    <w:pPr>
      <w:spacing w:before="200" w:after="900"/>
      <w:ind w:firstLine="0"/>
      <w:jc w:val="right"/>
    </w:pPr>
    <w:rPr>
      <w:rFonts w:ascii="Calibri" w:hAnsi="Calibri"/>
      <w:i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220B3F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styleId="af">
    <w:name w:val="Strong"/>
    <w:uiPriority w:val="99"/>
    <w:qFormat/>
    <w:rsid w:val="00220B3F"/>
    <w:rPr>
      <w:rFonts w:cs="Times New Roman"/>
      <w:b/>
      <w:spacing w:val="0"/>
    </w:rPr>
  </w:style>
  <w:style w:type="character" w:styleId="af0">
    <w:name w:val="Emphasis"/>
    <w:uiPriority w:val="99"/>
    <w:qFormat/>
    <w:rsid w:val="00220B3F"/>
    <w:rPr>
      <w:rFonts w:cs="Times New Roman"/>
      <w:b/>
      <w:i/>
      <w:color w:val="5A5A5A"/>
    </w:rPr>
  </w:style>
  <w:style w:type="paragraph" w:styleId="af1">
    <w:name w:val="No Spacing"/>
    <w:basedOn w:val="a"/>
    <w:link w:val="af2"/>
    <w:uiPriority w:val="99"/>
    <w:qFormat/>
    <w:rsid w:val="00220B3F"/>
    <w:pPr>
      <w:ind w:firstLine="0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220B3F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Quote"/>
    <w:basedOn w:val="a"/>
    <w:next w:val="a"/>
    <w:link w:val="23"/>
    <w:uiPriority w:val="99"/>
    <w:qFormat/>
    <w:rsid w:val="00220B3F"/>
    <w:rPr>
      <w:rFonts w:ascii="Cambria" w:hAnsi="Cambria"/>
      <w:i/>
      <w:color w:val="5A5A5A"/>
      <w:sz w:val="20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99"/>
    <w:rsid w:val="00220B3F"/>
    <w:rPr>
      <w:rFonts w:ascii="Cambria" w:eastAsia="Times New Roman" w:hAnsi="Cambria" w:cs="Times New Roman"/>
      <w:i/>
      <w:color w:val="5A5A5A"/>
      <w:sz w:val="20"/>
      <w:szCs w:val="20"/>
      <w:lang w:eastAsia="ru-RU"/>
    </w:rPr>
  </w:style>
  <w:style w:type="paragraph" w:styleId="af3">
    <w:name w:val="Intense Quote"/>
    <w:basedOn w:val="a"/>
    <w:next w:val="a"/>
    <w:link w:val="af4"/>
    <w:uiPriority w:val="99"/>
    <w:qFormat/>
    <w:rsid w:val="00220B3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color w:val="FFFFFF"/>
      <w:sz w:val="24"/>
      <w:szCs w:val="20"/>
      <w:lang w:eastAsia="ru-RU"/>
    </w:rPr>
  </w:style>
  <w:style w:type="character" w:customStyle="1" w:styleId="af4">
    <w:name w:val="Выделенная цитата Знак"/>
    <w:basedOn w:val="a0"/>
    <w:link w:val="af3"/>
    <w:uiPriority w:val="99"/>
    <w:rsid w:val="00220B3F"/>
    <w:rPr>
      <w:rFonts w:ascii="Cambria" w:eastAsia="Times New Roman" w:hAnsi="Cambria" w:cs="Times New Roman"/>
      <w:i/>
      <w:color w:val="FFFFFF"/>
      <w:sz w:val="24"/>
      <w:szCs w:val="20"/>
      <w:shd w:val="clear" w:color="auto" w:fill="4F81BD"/>
      <w:lang w:eastAsia="ru-RU"/>
    </w:rPr>
  </w:style>
  <w:style w:type="character" w:styleId="af5">
    <w:name w:val="Subtle Emphasis"/>
    <w:uiPriority w:val="99"/>
    <w:qFormat/>
    <w:rsid w:val="00220B3F"/>
    <w:rPr>
      <w:i/>
      <w:color w:val="5A5A5A"/>
    </w:rPr>
  </w:style>
  <w:style w:type="character" w:styleId="af6">
    <w:name w:val="Intense Emphasis"/>
    <w:uiPriority w:val="99"/>
    <w:qFormat/>
    <w:rsid w:val="00220B3F"/>
    <w:rPr>
      <w:b/>
      <w:i/>
      <w:color w:val="4F81BD"/>
      <w:sz w:val="22"/>
    </w:rPr>
  </w:style>
  <w:style w:type="character" w:styleId="af7">
    <w:name w:val="Subtle Reference"/>
    <w:uiPriority w:val="99"/>
    <w:qFormat/>
    <w:rsid w:val="00220B3F"/>
    <w:rPr>
      <w:color w:val="auto"/>
      <w:u w:val="single" w:color="9BBB59"/>
    </w:rPr>
  </w:style>
  <w:style w:type="character" w:styleId="af8">
    <w:name w:val="Intense Reference"/>
    <w:uiPriority w:val="99"/>
    <w:qFormat/>
    <w:rsid w:val="00220B3F"/>
    <w:rPr>
      <w:b/>
      <w:color w:val="76923C"/>
      <w:u w:val="single" w:color="9BBB59"/>
    </w:rPr>
  </w:style>
  <w:style w:type="character" w:styleId="af9">
    <w:name w:val="Book Title"/>
    <w:uiPriority w:val="99"/>
    <w:qFormat/>
    <w:rsid w:val="00220B3F"/>
    <w:rPr>
      <w:rFonts w:ascii="Cambria" w:hAnsi="Cambria"/>
      <w:b/>
      <w:i/>
      <w:color w:val="auto"/>
    </w:rPr>
  </w:style>
  <w:style w:type="paragraph" w:styleId="afa">
    <w:name w:val="TOC Heading"/>
    <w:basedOn w:val="1"/>
    <w:next w:val="a"/>
    <w:uiPriority w:val="99"/>
    <w:qFormat/>
    <w:rsid w:val="00220B3F"/>
    <w:pPr>
      <w:outlineLvl w:val="9"/>
    </w:pPr>
  </w:style>
  <w:style w:type="paragraph" w:styleId="afb">
    <w:name w:val="header"/>
    <w:basedOn w:val="a"/>
    <w:link w:val="afc"/>
    <w:uiPriority w:val="99"/>
    <w:rsid w:val="00220B3F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220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footer"/>
    <w:basedOn w:val="a"/>
    <w:link w:val="afe"/>
    <w:uiPriority w:val="99"/>
    <w:rsid w:val="00220B3F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220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">
    <w:name w:val="Normal (Web)"/>
    <w:basedOn w:val="a"/>
    <w:uiPriority w:val="99"/>
    <w:rsid w:val="00220B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f0">
    <w:name w:val="Body Text"/>
    <w:aliases w:val="Основной текст1,Основной текст Знак Знак,bt"/>
    <w:basedOn w:val="a"/>
    <w:link w:val="aff1"/>
    <w:uiPriority w:val="99"/>
    <w:rsid w:val="00220B3F"/>
    <w:pPr>
      <w:widowControl/>
      <w:autoSpaceDE/>
      <w:autoSpaceDN/>
      <w:adjustRightInd/>
      <w:spacing w:after="120"/>
      <w:ind w:firstLine="0"/>
      <w:jc w:val="left"/>
    </w:pPr>
    <w:rPr>
      <w:sz w:val="24"/>
      <w:szCs w:val="20"/>
      <w:lang w:eastAsia="ru-RU"/>
    </w:rPr>
  </w:style>
  <w:style w:type="character" w:customStyle="1" w:styleId="aff1">
    <w:name w:val="Основной текст Знак"/>
    <w:aliases w:val="Основной текст1 Знак1,Основной текст Знак Знак Знак1,bt Знак1"/>
    <w:basedOn w:val="a0"/>
    <w:link w:val="aff0"/>
    <w:uiPriority w:val="99"/>
    <w:rsid w:val="00220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20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B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f3">
    <w:name w:val="page number"/>
    <w:uiPriority w:val="99"/>
    <w:rsid w:val="00220B3F"/>
    <w:rPr>
      <w:rFonts w:cs="Times New Roman"/>
    </w:rPr>
  </w:style>
  <w:style w:type="paragraph" w:customStyle="1" w:styleId="aff4">
    <w:name w:val="Знак Знак Знак Знак Знак Знак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1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rvps698610">
    <w:name w:val="rvps698610"/>
    <w:basedOn w:val="a"/>
    <w:uiPriority w:val="99"/>
    <w:rsid w:val="00220B3F"/>
    <w:pPr>
      <w:widowControl/>
      <w:autoSpaceDE/>
      <w:autoSpaceDN/>
      <w:adjustRightInd/>
      <w:spacing w:after="150"/>
      <w:ind w:right="300" w:firstLine="0"/>
      <w:jc w:val="left"/>
    </w:pPr>
    <w:rPr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uiPriority w:val="99"/>
    <w:locked/>
    <w:rsid w:val="00220B3F"/>
    <w:rPr>
      <w:rFonts w:ascii="Times New Roman" w:hAnsi="Times New Roman"/>
      <w:sz w:val="24"/>
      <w:lang w:eastAsia="ru-RU"/>
    </w:rPr>
  </w:style>
  <w:style w:type="paragraph" w:customStyle="1" w:styleId="13">
    <w:name w:val="Абзац списка1"/>
    <w:basedOn w:val="a"/>
    <w:uiPriority w:val="99"/>
    <w:rsid w:val="00220B3F"/>
    <w:pPr>
      <w:widowControl/>
      <w:suppressAutoHyphens/>
      <w:autoSpaceDE/>
      <w:autoSpaceDN/>
      <w:adjustRightInd/>
      <w:ind w:left="720" w:firstLine="0"/>
      <w:contextualSpacing/>
      <w:jc w:val="left"/>
    </w:pPr>
    <w:rPr>
      <w:kern w:val="2"/>
      <w:sz w:val="24"/>
      <w:szCs w:val="24"/>
      <w:lang w:eastAsia="ru-RU"/>
    </w:rPr>
  </w:style>
  <w:style w:type="paragraph" w:customStyle="1" w:styleId="14">
    <w:name w:val="Знак Знак1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220B3F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20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Hyperlink"/>
    <w:uiPriority w:val="99"/>
    <w:semiHidden/>
    <w:rsid w:val="00220B3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220B3F"/>
  </w:style>
  <w:style w:type="paragraph" w:customStyle="1" w:styleId="aff6">
    <w:name w:val="Знак Знак Знак Знак"/>
    <w:basedOn w:val="a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Основной текст_"/>
    <w:link w:val="24"/>
    <w:locked/>
    <w:rsid w:val="00220B3F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2"/>
    <w:basedOn w:val="a"/>
    <w:link w:val="aff7"/>
    <w:rsid w:val="00220B3F"/>
    <w:pPr>
      <w:shd w:val="clear" w:color="auto" w:fill="FFFFFF"/>
      <w:autoSpaceDE/>
      <w:autoSpaceDN/>
      <w:adjustRightInd/>
      <w:spacing w:after="420" w:line="0" w:lineRule="atLeast"/>
      <w:ind w:firstLine="0"/>
      <w:jc w:val="right"/>
    </w:pPr>
    <w:rPr>
      <w:rFonts w:eastAsiaTheme="minorHAnsi" w:cstheme="minorBidi"/>
      <w:sz w:val="22"/>
      <w:szCs w:val="22"/>
    </w:rPr>
  </w:style>
  <w:style w:type="character" w:customStyle="1" w:styleId="8pt">
    <w:name w:val="Основной текст + 8 pt"/>
    <w:aliases w:val="Полужирный,Интервал 0 pt"/>
    <w:rsid w:val="00220B3F"/>
    <w:rPr>
      <w:rFonts w:ascii="Times New Roman" w:hAnsi="Times New Roman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B3F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20B3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color w:val="365F91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0B3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0B3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20B3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color w:val="4F81BD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20B3F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20B3F"/>
    <w:pPr>
      <w:spacing w:before="280" w:after="100"/>
      <w:ind w:firstLine="0"/>
      <w:outlineLvl w:val="5"/>
    </w:pPr>
    <w:rPr>
      <w:rFonts w:ascii="Cambria" w:hAnsi="Cambria"/>
      <w:i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20B3F"/>
    <w:pPr>
      <w:spacing w:before="320" w:after="100"/>
      <w:ind w:firstLine="0"/>
      <w:outlineLvl w:val="6"/>
    </w:pPr>
    <w:rPr>
      <w:rFonts w:ascii="Cambria" w:hAnsi="Cambria"/>
      <w:b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20B3F"/>
    <w:pPr>
      <w:spacing w:before="320" w:after="100"/>
      <w:ind w:firstLine="0"/>
      <w:outlineLvl w:val="7"/>
    </w:pPr>
    <w:rPr>
      <w:rFonts w:ascii="Cambria" w:hAnsi="Cambria"/>
      <w:b/>
      <w:i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20B3F"/>
    <w:pPr>
      <w:spacing w:before="320" w:after="100"/>
      <w:ind w:firstLine="0"/>
      <w:outlineLvl w:val="8"/>
    </w:pPr>
    <w:rPr>
      <w:rFonts w:ascii="Cambria" w:hAnsi="Cambria"/>
      <w:i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0B3F"/>
    <w:rPr>
      <w:rFonts w:ascii="Cambria" w:eastAsia="Times New Roman" w:hAnsi="Cambria" w:cs="Times New Roman"/>
      <w:b/>
      <w:color w:val="365F91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0B3F"/>
    <w:rPr>
      <w:rFonts w:ascii="Cambria" w:eastAsia="Times New Roman" w:hAnsi="Cambria" w:cs="Times New Roman"/>
      <w:color w:val="365F91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0B3F"/>
    <w:rPr>
      <w:rFonts w:ascii="Cambria" w:eastAsia="Times New Roman" w:hAnsi="Cambria" w:cs="Times New Roman"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20B3F"/>
    <w:rPr>
      <w:rFonts w:ascii="Cambria" w:eastAsia="Times New Roman" w:hAnsi="Cambria" w:cs="Times New Roman"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20B3F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20B3F"/>
    <w:rPr>
      <w:rFonts w:ascii="Cambria" w:eastAsia="Times New Roman" w:hAnsi="Cambria" w:cs="Times New Roman"/>
      <w:i/>
      <w:color w:val="4F81BD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20B3F"/>
    <w:rPr>
      <w:rFonts w:ascii="Cambria" w:eastAsia="Times New Roman" w:hAnsi="Cambria" w:cs="Times New Roman"/>
      <w:b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20B3F"/>
    <w:rPr>
      <w:rFonts w:ascii="Cambria" w:eastAsia="Times New Roman" w:hAnsi="Cambria" w:cs="Times New Roman"/>
      <w:b/>
      <w:i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20B3F"/>
    <w:rPr>
      <w:rFonts w:ascii="Cambria" w:eastAsia="Times New Roman" w:hAnsi="Cambria" w:cs="Times New Roman"/>
      <w:i/>
      <w:color w:val="9BBB59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20B3F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220B3F"/>
    <w:rPr>
      <w:rFonts w:ascii="Tahoma" w:hAnsi="Tahoma"/>
      <w:sz w:val="16"/>
      <w:szCs w:val="20"/>
      <w:lang w:eastAsia="ru-RU"/>
    </w:rPr>
  </w:style>
  <w:style w:type="paragraph" w:customStyle="1" w:styleId="21">
    <w:name w:val="Список 21"/>
    <w:basedOn w:val="a"/>
    <w:uiPriority w:val="99"/>
    <w:rsid w:val="00220B3F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31">
    <w:name w:val="Список 31"/>
    <w:basedOn w:val="a"/>
    <w:uiPriority w:val="99"/>
    <w:rsid w:val="00220B3F"/>
    <w:pPr>
      <w:suppressAutoHyphens/>
      <w:ind w:left="849" w:hanging="283"/>
    </w:pPr>
    <w:rPr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220B3F"/>
    <w:pPr>
      <w:ind w:left="720"/>
      <w:contextualSpacing/>
    </w:pPr>
  </w:style>
  <w:style w:type="character" w:customStyle="1" w:styleId="a6">
    <w:name w:val="Текст примечания Знак"/>
    <w:basedOn w:val="a0"/>
    <w:link w:val="a7"/>
    <w:uiPriority w:val="99"/>
    <w:semiHidden/>
    <w:rsid w:val="00220B3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rsid w:val="00220B3F"/>
    <w:rPr>
      <w:rFonts w:ascii="Calibri" w:hAnsi="Calibri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220B3F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rsid w:val="00220B3F"/>
    <w:rPr>
      <w:b/>
    </w:rPr>
  </w:style>
  <w:style w:type="paragraph" w:styleId="aa">
    <w:name w:val="caption"/>
    <w:basedOn w:val="a"/>
    <w:next w:val="a"/>
    <w:uiPriority w:val="99"/>
    <w:qFormat/>
    <w:rsid w:val="00220B3F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220B3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color w:val="243F60"/>
      <w:sz w:val="60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220B3F"/>
    <w:rPr>
      <w:rFonts w:ascii="Cambria" w:eastAsia="Times New Roman" w:hAnsi="Cambria" w:cs="Times New Roman"/>
      <w:i/>
      <w:color w:val="243F60"/>
      <w:sz w:val="6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220B3F"/>
    <w:pPr>
      <w:spacing w:before="200" w:after="900"/>
      <w:ind w:firstLine="0"/>
      <w:jc w:val="right"/>
    </w:pPr>
    <w:rPr>
      <w:rFonts w:ascii="Calibri" w:hAnsi="Calibri"/>
      <w:i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220B3F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styleId="af">
    <w:name w:val="Strong"/>
    <w:uiPriority w:val="99"/>
    <w:qFormat/>
    <w:rsid w:val="00220B3F"/>
    <w:rPr>
      <w:rFonts w:cs="Times New Roman"/>
      <w:b/>
      <w:spacing w:val="0"/>
    </w:rPr>
  </w:style>
  <w:style w:type="character" w:styleId="af0">
    <w:name w:val="Emphasis"/>
    <w:uiPriority w:val="99"/>
    <w:qFormat/>
    <w:rsid w:val="00220B3F"/>
    <w:rPr>
      <w:rFonts w:cs="Times New Roman"/>
      <w:b/>
      <w:i/>
      <w:color w:val="5A5A5A"/>
    </w:rPr>
  </w:style>
  <w:style w:type="paragraph" w:styleId="af1">
    <w:name w:val="No Spacing"/>
    <w:basedOn w:val="a"/>
    <w:link w:val="af2"/>
    <w:uiPriority w:val="99"/>
    <w:qFormat/>
    <w:rsid w:val="00220B3F"/>
    <w:pPr>
      <w:ind w:firstLine="0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220B3F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Quote"/>
    <w:basedOn w:val="a"/>
    <w:next w:val="a"/>
    <w:link w:val="23"/>
    <w:uiPriority w:val="99"/>
    <w:qFormat/>
    <w:rsid w:val="00220B3F"/>
    <w:rPr>
      <w:rFonts w:ascii="Cambria" w:hAnsi="Cambria"/>
      <w:i/>
      <w:color w:val="5A5A5A"/>
      <w:sz w:val="20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99"/>
    <w:rsid w:val="00220B3F"/>
    <w:rPr>
      <w:rFonts w:ascii="Cambria" w:eastAsia="Times New Roman" w:hAnsi="Cambria" w:cs="Times New Roman"/>
      <w:i/>
      <w:color w:val="5A5A5A"/>
      <w:sz w:val="20"/>
      <w:szCs w:val="20"/>
      <w:lang w:eastAsia="ru-RU"/>
    </w:rPr>
  </w:style>
  <w:style w:type="paragraph" w:styleId="af3">
    <w:name w:val="Intense Quote"/>
    <w:basedOn w:val="a"/>
    <w:next w:val="a"/>
    <w:link w:val="af4"/>
    <w:uiPriority w:val="99"/>
    <w:qFormat/>
    <w:rsid w:val="00220B3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color w:val="FFFFFF"/>
      <w:sz w:val="24"/>
      <w:szCs w:val="20"/>
      <w:lang w:eastAsia="ru-RU"/>
    </w:rPr>
  </w:style>
  <w:style w:type="character" w:customStyle="1" w:styleId="af4">
    <w:name w:val="Выделенная цитата Знак"/>
    <w:basedOn w:val="a0"/>
    <w:link w:val="af3"/>
    <w:uiPriority w:val="99"/>
    <w:rsid w:val="00220B3F"/>
    <w:rPr>
      <w:rFonts w:ascii="Cambria" w:eastAsia="Times New Roman" w:hAnsi="Cambria" w:cs="Times New Roman"/>
      <w:i/>
      <w:color w:val="FFFFFF"/>
      <w:sz w:val="24"/>
      <w:szCs w:val="20"/>
      <w:shd w:val="clear" w:color="auto" w:fill="4F81BD"/>
      <w:lang w:eastAsia="ru-RU"/>
    </w:rPr>
  </w:style>
  <w:style w:type="character" w:styleId="af5">
    <w:name w:val="Subtle Emphasis"/>
    <w:uiPriority w:val="99"/>
    <w:qFormat/>
    <w:rsid w:val="00220B3F"/>
    <w:rPr>
      <w:i/>
      <w:color w:val="5A5A5A"/>
    </w:rPr>
  </w:style>
  <w:style w:type="character" w:styleId="af6">
    <w:name w:val="Intense Emphasis"/>
    <w:uiPriority w:val="99"/>
    <w:qFormat/>
    <w:rsid w:val="00220B3F"/>
    <w:rPr>
      <w:b/>
      <w:i/>
      <w:color w:val="4F81BD"/>
      <w:sz w:val="22"/>
    </w:rPr>
  </w:style>
  <w:style w:type="character" w:styleId="af7">
    <w:name w:val="Subtle Reference"/>
    <w:uiPriority w:val="99"/>
    <w:qFormat/>
    <w:rsid w:val="00220B3F"/>
    <w:rPr>
      <w:color w:val="auto"/>
      <w:u w:val="single" w:color="9BBB59"/>
    </w:rPr>
  </w:style>
  <w:style w:type="character" w:styleId="af8">
    <w:name w:val="Intense Reference"/>
    <w:uiPriority w:val="99"/>
    <w:qFormat/>
    <w:rsid w:val="00220B3F"/>
    <w:rPr>
      <w:b/>
      <w:color w:val="76923C"/>
      <w:u w:val="single" w:color="9BBB59"/>
    </w:rPr>
  </w:style>
  <w:style w:type="character" w:styleId="af9">
    <w:name w:val="Book Title"/>
    <w:uiPriority w:val="99"/>
    <w:qFormat/>
    <w:rsid w:val="00220B3F"/>
    <w:rPr>
      <w:rFonts w:ascii="Cambria" w:hAnsi="Cambria"/>
      <w:b/>
      <w:i/>
      <w:color w:val="auto"/>
    </w:rPr>
  </w:style>
  <w:style w:type="paragraph" w:styleId="afa">
    <w:name w:val="TOC Heading"/>
    <w:basedOn w:val="1"/>
    <w:next w:val="a"/>
    <w:uiPriority w:val="99"/>
    <w:qFormat/>
    <w:rsid w:val="00220B3F"/>
    <w:pPr>
      <w:outlineLvl w:val="9"/>
    </w:pPr>
  </w:style>
  <w:style w:type="paragraph" w:styleId="afb">
    <w:name w:val="header"/>
    <w:basedOn w:val="a"/>
    <w:link w:val="afc"/>
    <w:uiPriority w:val="99"/>
    <w:rsid w:val="00220B3F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220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footer"/>
    <w:basedOn w:val="a"/>
    <w:link w:val="afe"/>
    <w:uiPriority w:val="99"/>
    <w:rsid w:val="00220B3F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220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">
    <w:name w:val="Normal (Web)"/>
    <w:basedOn w:val="a"/>
    <w:uiPriority w:val="99"/>
    <w:rsid w:val="00220B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f0">
    <w:name w:val="Body Text"/>
    <w:aliases w:val="Основной текст1,Основной текст Знак Знак,bt"/>
    <w:basedOn w:val="a"/>
    <w:link w:val="aff1"/>
    <w:uiPriority w:val="99"/>
    <w:rsid w:val="00220B3F"/>
    <w:pPr>
      <w:widowControl/>
      <w:autoSpaceDE/>
      <w:autoSpaceDN/>
      <w:adjustRightInd/>
      <w:spacing w:after="120"/>
      <w:ind w:firstLine="0"/>
      <w:jc w:val="left"/>
    </w:pPr>
    <w:rPr>
      <w:sz w:val="24"/>
      <w:szCs w:val="20"/>
      <w:lang w:eastAsia="ru-RU"/>
    </w:rPr>
  </w:style>
  <w:style w:type="character" w:customStyle="1" w:styleId="aff1">
    <w:name w:val="Основной текст Знак"/>
    <w:aliases w:val="Основной текст1 Знак1,Основной текст Знак Знак Знак1,bt Знак1"/>
    <w:basedOn w:val="a0"/>
    <w:link w:val="aff0"/>
    <w:uiPriority w:val="99"/>
    <w:rsid w:val="00220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20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B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f3">
    <w:name w:val="page number"/>
    <w:uiPriority w:val="99"/>
    <w:rsid w:val="00220B3F"/>
    <w:rPr>
      <w:rFonts w:cs="Times New Roman"/>
    </w:rPr>
  </w:style>
  <w:style w:type="paragraph" w:customStyle="1" w:styleId="aff4">
    <w:name w:val="Знак Знак Знак Знак Знак Знак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1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rvps698610">
    <w:name w:val="rvps698610"/>
    <w:basedOn w:val="a"/>
    <w:uiPriority w:val="99"/>
    <w:rsid w:val="00220B3F"/>
    <w:pPr>
      <w:widowControl/>
      <w:autoSpaceDE/>
      <w:autoSpaceDN/>
      <w:adjustRightInd/>
      <w:spacing w:after="150"/>
      <w:ind w:right="300" w:firstLine="0"/>
      <w:jc w:val="left"/>
    </w:pPr>
    <w:rPr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uiPriority w:val="99"/>
    <w:locked/>
    <w:rsid w:val="00220B3F"/>
    <w:rPr>
      <w:rFonts w:ascii="Times New Roman" w:hAnsi="Times New Roman"/>
      <w:sz w:val="24"/>
      <w:lang w:eastAsia="ru-RU"/>
    </w:rPr>
  </w:style>
  <w:style w:type="paragraph" w:customStyle="1" w:styleId="13">
    <w:name w:val="Абзац списка1"/>
    <w:basedOn w:val="a"/>
    <w:uiPriority w:val="99"/>
    <w:rsid w:val="00220B3F"/>
    <w:pPr>
      <w:widowControl/>
      <w:suppressAutoHyphens/>
      <w:autoSpaceDE/>
      <w:autoSpaceDN/>
      <w:adjustRightInd/>
      <w:ind w:left="720" w:firstLine="0"/>
      <w:contextualSpacing/>
      <w:jc w:val="left"/>
    </w:pPr>
    <w:rPr>
      <w:kern w:val="2"/>
      <w:sz w:val="24"/>
      <w:szCs w:val="24"/>
      <w:lang w:eastAsia="ru-RU"/>
    </w:rPr>
  </w:style>
  <w:style w:type="paragraph" w:customStyle="1" w:styleId="14">
    <w:name w:val="Знак Знак1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uiPriority w:val="99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220B3F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20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Hyperlink"/>
    <w:uiPriority w:val="99"/>
    <w:semiHidden/>
    <w:rsid w:val="00220B3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220B3F"/>
  </w:style>
  <w:style w:type="paragraph" w:customStyle="1" w:styleId="aff6">
    <w:name w:val="Знак Знак Знак Знак"/>
    <w:basedOn w:val="a"/>
    <w:rsid w:val="00220B3F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Основной текст_"/>
    <w:link w:val="24"/>
    <w:locked/>
    <w:rsid w:val="00220B3F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2"/>
    <w:basedOn w:val="a"/>
    <w:link w:val="aff7"/>
    <w:rsid w:val="00220B3F"/>
    <w:pPr>
      <w:shd w:val="clear" w:color="auto" w:fill="FFFFFF"/>
      <w:autoSpaceDE/>
      <w:autoSpaceDN/>
      <w:adjustRightInd/>
      <w:spacing w:after="420" w:line="0" w:lineRule="atLeast"/>
      <w:ind w:firstLine="0"/>
      <w:jc w:val="right"/>
    </w:pPr>
    <w:rPr>
      <w:rFonts w:eastAsiaTheme="minorHAnsi" w:cstheme="minorBidi"/>
      <w:sz w:val="22"/>
      <w:szCs w:val="22"/>
    </w:rPr>
  </w:style>
  <w:style w:type="character" w:customStyle="1" w:styleId="8pt">
    <w:name w:val="Основной текст + 8 pt"/>
    <w:aliases w:val="Полужирный,Интервал 0 pt"/>
    <w:rsid w:val="00220B3F"/>
    <w:rPr>
      <w:rFonts w:ascii="Times New Roman" w:hAnsi="Times New Roman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AD63B50C52B1AD675EB0BCA3E5308AEEC748346B9C92A39F8809E447534B2E9E4A5147981601ED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consultantplus://offline/ref=735474F0D3B285CB776661125C08461AEDEE18E882C6E05D73B1F9B5F3B568B12887424E3C67L8FD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5474F0D3B285CB776661125C08461AEDEE18E389C8E05D73B1F9B5F3B568B128874248376D8ALFFBD" TargetMode="External"/><Relationship Id="rId20" Type="http://schemas.openxmlformats.org/officeDocument/2006/relationships/hyperlink" Target="consultantplus://offline/ref=B9F509FF4195E73EFEDBA588BD8DB39C2C577DC475D13AE8AC2BD657C63295B2904D86177A587BDBD6B518J3wE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B9F509FF4195E73EFEDBA588BD8DB39C2C577DC475D13AE8AC2BD657C63295B2904D86177A587BDBD6B518J3w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AD63B50C52B1AD675EB0BCA3E5308AEEC748346B9C92A39F8809E447534B2E9E4A5147981601CD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1\&#1054;&#1088;&#1075;&#1086;&#1090;&#1076;&#1077;&#1083;\&#1052;&#1091;&#1088;&#1072;&#1090;&#1086;&#1074;&#1072;\2016\&#1055;&#1088;&#1086;&#1075;&#1085;&#1086;&#1079;%20&#1085;&#1072;%202017-2019\&#1075;&#1088;&#1072;&#1092;&#1080;&#1082;&#1080;%202016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1\&#1054;&#1088;&#1075;&#1086;&#1090;&#1076;&#1077;&#1083;\&#1052;&#1091;&#1088;&#1072;&#1090;&#1086;&#1074;&#1072;\2016\&#1055;&#1088;&#1086;&#1075;&#1085;&#1086;&#1079;%20&#1085;&#1072;%202017-2019\&#1075;&#1088;&#1072;&#1092;&#1080;&#1082;&#1080;%202016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1\&#1054;&#1088;&#1075;&#1086;&#1090;&#1076;&#1077;&#1083;\&#1042;&#1090;&#1086;&#1088;&#1091;&#1096;&#1080;&#1085;\2016\&#1055;&#1056;&#1054;&#1045;&#1050;&#1058;%202017-2019\&#1075;&#1088;&#1072;&#1092;&#1080;&#1082;&#1080;%202016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1\&#1054;&#1088;&#1075;&#1086;&#1090;&#1076;&#1077;&#1083;\&#1042;&#1090;&#1086;&#1088;&#1091;&#1096;&#1080;&#1085;\2016\&#1055;&#1056;&#1054;&#1045;&#1050;&#1058;%202017-2019\&#1075;&#1088;&#1072;&#1092;&#1080;&#1082;&#1080;%202016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1\&#1054;&#1088;&#1075;&#1086;&#1090;&#1076;&#1077;&#1083;\&#1042;&#1090;&#1086;&#1088;&#1091;&#1096;&#1080;&#1085;\2016\&#1055;&#1056;&#1054;&#1045;&#1050;&#1058;%202017-2019\&#1075;&#1088;&#1072;&#1092;&#1080;&#1082;&#1080;%202016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1\&#1054;&#1088;&#1075;&#1086;&#1090;&#1076;&#1077;&#1083;\&#1042;&#1090;&#1086;&#1088;&#1091;&#1096;&#1080;&#1085;\2016\&#1055;&#1056;&#1054;&#1045;&#1050;&#1058;%202017-2019\&#1075;&#1088;&#1072;&#1092;&#1080;&#1082;&#1080;%202016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file01\&#1054;&#1088;&#1075;&#1086;&#1090;&#1076;&#1077;&#1083;\&#1042;&#1090;&#1086;&#1088;&#1091;&#1096;&#1080;&#1085;\2016\&#1055;&#1056;&#1054;&#1045;&#1050;&#1058;%202017-2019\&#1075;&#1088;&#1072;&#1092;&#1080;&#1082;&#1080;%202016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реального объема ВРП Томской области и ВВП России, в %</a:t>
            </a:r>
          </a:p>
        </c:rich>
      </c:tx>
      <c:layout>
        <c:manualLayout>
          <c:xMode val="edge"/>
          <c:yMode val="edge"/>
          <c:x val="0.12611012433392541"/>
          <c:y val="2.797207572811224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36234458259325E-2"/>
          <c:y val="0.15384641650461733"/>
          <c:w val="0.89342806394316165"/>
          <c:h val="0.6293717038825255"/>
        </c:manualLayout>
      </c:layout>
      <c:lineChart>
        <c:grouping val="standard"/>
        <c:varyColors val="0"/>
        <c:ser>
          <c:idx val="0"/>
          <c:order val="0"/>
          <c:tx>
            <c:v>ВРП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6835270937393213E-2"/>
                  <c:y val="-5.6944544775939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919296791502171E-2"/>
                  <c:y val="3.9895414449340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685686449858587E-2"/>
                  <c:y val="4.4992254408565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491780632684072E-2"/>
                  <c:y val="3.4798574490115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6068881279036798E-2"/>
                  <c:y val="-4.6750864857489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'[графики 2016.xlsx]1-2'!$D$3:$K$3</c:f>
              <c:strCach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 прогноз</c:v>
                </c:pt>
                <c:pt idx="4">
                  <c:v>2016 оценка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'[графики 2016.xlsx]1-2'!$D$5:$K$5</c:f>
              <c:numCache>
                <c:formatCode>#,##0.0</c:formatCode>
                <c:ptCount val="8"/>
                <c:pt idx="0">
                  <c:v>101.8</c:v>
                </c:pt>
                <c:pt idx="1">
                  <c:v>100.2</c:v>
                </c:pt>
                <c:pt idx="2">
                  <c:v>99.5</c:v>
                </c:pt>
                <c:pt idx="3">
                  <c:v>100.1</c:v>
                </c:pt>
                <c:pt idx="4">
                  <c:v>99.3</c:v>
                </c:pt>
                <c:pt idx="5">
                  <c:v>100.9</c:v>
                </c:pt>
                <c:pt idx="6">
                  <c:v>102</c:v>
                </c:pt>
                <c:pt idx="7" formatCode="General">
                  <c:v>102.5</c:v>
                </c:pt>
              </c:numCache>
            </c:numRef>
          </c:val>
          <c:smooth val="0"/>
        </c:ser>
        <c:ser>
          <c:idx val="1"/>
          <c:order val="1"/>
          <c:tx>
            <c:v>ВВП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4626038781163437E-2"/>
                  <c:y val="4.5871559633027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00831024930747E-2"/>
                  <c:y val="-3.5677879714576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467220683287124E-2"/>
                  <c:y val="4.0774719673802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626038781163437E-2"/>
                  <c:y val="-4.0774719673802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392428439519766E-2"/>
                  <c:y val="-4.5871559633027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084025854108872E-2"/>
                  <c:y val="5.09683995922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700831024930747E-2"/>
                  <c:y val="4.5871559633027525E-2"/>
                </c:manualLayout>
              </c:layout>
              <c:tx>
                <c:rich>
                  <a:bodyPr/>
                  <a:lstStyle/>
                  <a:p>
                    <a:r>
                      <a:rPr lang="en-US" sz="900" u="sng" baseline="0">
                        <a:latin typeface="Times New Roman" panose="02020603050405020304" pitchFamily="18" charset="0"/>
                      </a:rPr>
                      <a:t>101,8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3084025854108958E-2"/>
                  <c:y val="5.09683995922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u="sng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'[графики 2016.xlsx]1-2'!$D$3:$K$3</c:f>
              <c:strCach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 прогноз</c:v>
                </c:pt>
                <c:pt idx="4">
                  <c:v>2016 оценка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'[графики 2016.xlsx]1-2'!$D$6:$K$6</c:f>
              <c:numCache>
                <c:formatCode>#,##0.0</c:formatCode>
                <c:ptCount val="8"/>
                <c:pt idx="0">
                  <c:v>101.3</c:v>
                </c:pt>
                <c:pt idx="1">
                  <c:v>100.7</c:v>
                </c:pt>
                <c:pt idx="2">
                  <c:v>96.3</c:v>
                </c:pt>
                <c:pt idx="3">
                  <c:v>102.3</c:v>
                </c:pt>
                <c:pt idx="4">
                  <c:v>99.8</c:v>
                </c:pt>
                <c:pt idx="5">
                  <c:v>100.8</c:v>
                </c:pt>
                <c:pt idx="6">
                  <c:v>101.8</c:v>
                </c:pt>
                <c:pt idx="7" formatCode="General">
                  <c:v>102.2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8784640"/>
        <c:axId val="125313792"/>
      </c:lineChart>
      <c:catAx>
        <c:axId val="10878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313792"/>
        <c:crossesAt val="90"/>
        <c:auto val="1"/>
        <c:lblAlgn val="ctr"/>
        <c:lblOffset val="100"/>
        <c:tickLblSkip val="1"/>
        <c:tickMarkSkip val="1"/>
        <c:noMultiLvlLbl val="0"/>
      </c:catAx>
      <c:valAx>
        <c:axId val="125313792"/>
        <c:scaling>
          <c:orientation val="minMax"/>
          <c:max val="106"/>
          <c:min val="94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784640"/>
        <c:crosses val="autoZero"/>
        <c:crossBetween val="between"/>
        <c:majorUnit val="4"/>
        <c:minorUnit val="0.4"/>
      </c:valAx>
      <c:spPr>
        <a:pattFill prst="pct25">
          <a:fgClr>
            <a:schemeClr val="accent5">
              <a:lumMod val="40000"/>
              <a:lumOff val="60000"/>
            </a:schemeClr>
          </a:fgClr>
          <a:bgClr>
            <a:schemeClr val="bg1"/>
          </a:bgClr>
        </a:patt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0" i="0" u="sng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4231481934323426"/>
          <c:y val="0.89510632111805444"/>
          <c:w val="0.48379425928774888"/>
          <c:h val="7.500247783712350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индекса потребительских цен в Томской области и России, дек/дек. в %</a:t>
            </a:r>
          </a:p>
        </c:rich>
      </c:tx>
      <c:layout>
        <c:manualLayout>
          <c:xMode val="edge"/>
          <c:yMode val="edge"/>
          <c:x val="0.13074204946996468"/>
          <c:y val="3.00000976565678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87279151943463E-2"/>
          <c:y val="0.15000048828283946"/>
          <c:w val="0.85512367491166075"/>
          <c:h val="0.65333546007636745"/>
        </c:manualLayout>
      </c:layout>
      <c:lineChart>
        <c:grouping val="standard"/>
        <c:varyColors val="0"/>
        <c:ser>
          <c:idx val="0"/>
          <c:order val="0"/>
          <c:tx>
            <c:v>ИПЦ ТО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8977900676936493E-2"/>
                  <c:y val="-5.3777625622884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328870580157912E-2"/>
                  <c:y val="5.797101449275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5551217155547864E-2"/>
                  <c:y val="5.121723914945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5440137290530991E-2"/>
                  <c:y val="-3.5836281334398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694050473350967E-2"/>
                  <c:y val="-3.9130434782608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052827318846626E-2"/>
                  <c:y val="-5.8444566616256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746309646412633E-2"/>
                  <c:y val="-4.3478260869565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6901084479824637E-2"/>
                  <c:y val="-4.8396667807828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sng" strike="noStrike" cap="non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'1-2'!$D$3:$K$3</c:f>
              <c:strCach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 прогноз</c:v>
                </c:pt>
                <c:pt idx="4">
                  <c:v>2016 оценка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'1-2'!$D$8:$K$8</c:f>
              <c:numCache>
                <c:formatCode>#,##0.0</c:formatCode>
                <c:ptCount val="8"/>
                <c:pt idx="0">
                  <c:v>106.6</c:v>
                </c:pt>
                <c:pt idx="1">
                  <c:v>110.7</c:v>
                </c:pt>
                <c:pt idx="2">
                  <c:v>112.4</c:v>
                </c:pt>
                <c:pt idx="3">
                  <c:v>107.2</c:v>
                </c:pt>
                <c:pt idx="4">
                  <c:v>106.7</c:v>
                </c:pt>
                <c:pt idx="5">
                  <c:v>105</c:v>
                </c:pt>
                <c:pt idx="6">
                  <c:v>104.7</c:v>
                </c:pt>
                <c:pt idx="7" formatCode="0.0">
                  <c:v>104.2</c:v>
                </c:pt>
              </c:numCache>
            </c:numRef>
          </c:val>
          <c:smooth val="0"/>
        </c:ser>
        <c:ser>
          <c:idx val="1"/>
          <c:order val="1"/>
          <c:tx>
            <c:v>ИПЦ России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871968630079836E-2"/>
                  <c:y val="4.2483167864886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617461952168438E-2"/>
                  <c:y val="-4.34782608695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328220991606817E-2"/>
                  <c:y val="-4.3478260869565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749286146923942E-2"/>
                  <c:y val="4.8309178743961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7705714180166203E-2"/>
                  <c:y val="4.638670166229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969750047979328E-2"/>
                  <c:y val="4.049298185552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681784034946166E-2"/>
                  <c:y val="3.933353395051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0601150817686251E-2"/>
                  <c:y val="3.97683441743695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'1-2'!$D$3:$K$3</c:f>
              <c:strCach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 прогноз</c:v>
                </c:pt>
                <c:pt idx="4">
                  <c:v>2016 оценка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'1-2'!$D$9:$K$9</c:f>
              <c:numCache>
                <c:formatCode>#,##0.0</c:formatCode>
                <c:ptCount val="8"/>
                <c:pt idx="0">
                  <c:v>106.5</c:v>
                </c:pt>
                <c:pt idx="1">
                  <c:v>111.4</c:v>
                </c:pt>
                <c:pt idx="2">
                  <c:v>112.9</c:v>
                </c:pt>
                <c:pt idx="3">
                  <c:v>107</c:v>
                </c:pt>
                <c:pt idx="4">
                  <c:v>106.5</c:v>
                </c:pt>
                <c:pt idx="5">
                  <c:v>104.9</c:v>
                </c:pt>
                <c:pt idx="6">
                  <c:v>104.5</c:v>
                </c:pt>
                <c:pt idx="7" formatCode="0.0">
                  <c:v>104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5349248"/>
        <c:axId val="125404288"/>
      </c:lineChart>
      <c:catAx>
        <c:axId val="12534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404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404288"/>
        <c:scaling>
          <c:orientation val="minMax"/>
          <c:max val="116"/>
          <c:min val="102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349248"/>
        <c:crosses val="autoZero"/>
        <c:crossBetween val="between"/>
        <c:majorUnit val="4"/>
      </c:valAx>
      <c:spPr>
        <a:pattFill prst="pct25">
          <a:fgClr>
            <a:schemeClr val="accent5">
              <a:lumMod val="40000"/>
              <a:lumOff val="60000"/>
            </a:schemeClr>
          </a:fgClr>
          <a:bgClr>
            <a:schemeClr val="bg1"/>
          </a:bgClr>
        </a:patt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1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30918727915194344"/>
          <c:y val="0.89666958551297371"/>
          <c:w val="0.34452296819787986"/>
          <c:h val="9.333363715376677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sng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100"/>
              <a:t>Динамика отношения налога на прибыль организаций к собственным доходам областного бюджета</a:t>
            </a:r>
          </a:p>
        </c:rich>
      </c:tx>
      <c:layout>
        <c:manualLayout>
          <c:xMode val="edge"/>
          <c:yMode val="edge"/>
          <c:x val="0.1123909106968341"/>
          <c:y val="2.6935604686869799E-2"/>
        </c:manualLayout>
      </c:layout>
      <c:overlay val="0"/>
      <c:spPr>
        <a:noFill/>
        <a:ln w="25400"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389808167315853E-2"/>
          <c:y val="0.20594425025736957"/>
          <c:w val="0.86782375524490429"/>
          <c:h val="0.68286775433602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3.4375865276071878E-3"/>
                  <c:y val="3.11492930627962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620617434854464E-4"/>
                  <c:y val="2.34051220558677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9374517343548007E-3"/>
                  <c:y val="1.83202020258987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0045368035431717E-3"/>
                  <c:y val="3.97084489670727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4151101715572136E-3"/>
                  <c:y val="7.092886081931273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4991896496175956E-3"/>
                  <c:y val="1.9137103690981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6306459943023701E-3"/>
                  <c:y val="1.28430997839093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6.3279519413429455E-3"/>
                  <c:y val="2.76922289354986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2.2038557932123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75" b="0" i="0" u="none" strike="noStrike" kern="1200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'динамика 3.6.8'!$B$2:$J$2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оценка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'динамика 3.6.8'!$B$5:$J$5</c:f>
              <c:numCache>
                <c:formatCode>#,##0.0</c:formatCode>
                <c:ptCount val="9"/>
                <c:pt idx="0">
                  <c:v>36.849266224075848</c:v>
                </c:pt>
                <c:pt idx="1">
                  <c:v>37.49392972401003</c:v>
                </c:pt>
                <c:pt idx="2">
                  <c:v>32.861842608421007</c:v>
                </c:pt>
                <c:pt idx="3">
                  <c:v>33.510412661468621</c:v>
                </c:pt>
                <c:pt idx="4">
                  <c:v>37.265925841923355</c:v>
                </c:pt>
                <c:pt idx="5">
                  <c:v>32.768545279320051</c:v>
                </c:pt>
                <c:pt idx="6">
                  <c:v>38.601158250843994</c:v>
                </c:pt>
                <c:pt idx="7">
                  <c:v>37.464001372241334</c:v>
                </c:pt>
                <c:pt idx="8" formatCode="0.0">
                  <c:v>37.280546179487317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436288"/>
        <c:axId val="125437824"/>
      </c:barChart>
      <c:catAx>
        <c:axId val="12543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50" b="0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43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437824"/>
        <c:scaling>
          <c:orientation val="minMax"/>
          <c:min val="30"/>
        </c:scaling>
        <c:delete val="0"/>
        <c:axPos val="l"/>
        <c:majorGridlines>
          <c:spPr>
            <a:ln w="3175" cap="flat" cmpd="sng" algn="ctr">
              <a:solidFill>
                <a:srgbClr val="FFFFFF"/>
              </a:solidFill>
              <a:prstDash val="solid"/>
              <a:round/>
            </a:ln>
            <a:effectLst/>
          </c:spPr>
        </c:majorGridlines>
        <c:numFmt formatCode="#,##0.0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50" b="0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436288"/>
        <c:crosses val="autoZero"/>
        <c:crossBetween val="between"/>
        <c:majorUnit val="3"/>
      </c:valAx>
      <c:spPr>
        <a:solidFill>
          <a:srgbClr val="FFFFCC"/>
        </a:solidFill>
        <a:ln w="12700">
          <a:solidFill>
            <a:srgbClr val="808080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bg1"/>
    </a:solidFill>
    <a:ln w="3175" cap="flat" cmpd="sng" algn="ctr">
      <a:solidFill>
        <a:srgbClr val="000000"/>
      </a:solidFill>
      <a:prstDash val="solid"/>
      <a:round/>
    </a:ln>
    <a:effectLst/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темпов роста ВРП, индекса промышленного производства и прибыли прибыльных предприятий (соп.ценах), в %</a:t>
            </a:r>
          </a:p>
        </c:rich>
      </c:tx>
      <c:layout>
        <c:manualLayout>
          <c:xMode val="edge"/>
          <c:yMode val="edge"/>
          <c:x val="0.15506565091778218"/>
          <c:y val="2.41680342722321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3310873454251062E-2"/>
          <c:y val="0.13066068118780644"/>
          <c:w val="0.93465193271295632"/>
          <c:h val="0.73425091653122521"/>
        </c:manualLayout>
      </c:layout>
      <c:lineChart>
        <c:grouping val="standard"/>
        <c:varyColors val="0"/>
        <c:ser>
          <c:idx val="0"/>
          <c:order val="0"/>
          <c:tx>
            <c:v>ВРП</c:v>
          </c:tx>
          <c:spPr>
            <a:ln w="15875" cmpd="sng">
              <a:solidFill>
                <a:srgbClr val="0070C0"/>
              </a:solidFill>
            </a:ln>
          </c:spPr>
          <c:marker>
            <c:symbol val="square"/>
            <c:size val="7"/>
            <c:spPr>
              <a:solidFill>
                <a:schemeClr val="tx2">
                  <a:lumMod val="60000"/>
                  <a:lumOff val="40000"/>
                </a:schemeClr>
              </a:solidFill>
              <a:ln w="9525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4661712944857254E-2"/>
                  <c:y val="3.7510614970597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4661712944857254E-2"/>
                  <c:y val="3.4135087544436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661918237928561E-2"/>
                  <c:y val="3.075956011827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502304927957531E-2"/>
                  <c:y val="3.7510614970597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411158910181202E-2"/>
                  <c:y val="-4.0126515831090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895082923003807E-2"/>
                  <c:y val="4.088614239675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68934949810881E-2"/>
                  <c:y val="3.075956011827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u="none" baseline="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'5'!$D$3:$M$3</c:f>
              <c:strCach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план</c:v>
                </c:pt>
                <c:pt idx="6">
                  <c:v>2016 оценка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'5'!$D$5:$M$5</c:f>
              <c:numCache>
                <c:formatCode>#,##0.0</c:formatCode>
                <c:ptCount val="10"/>
                <c:pt idx="0">
                  <c:v>103.6</c:v>
                </c:pt>
                <c:pt idx="1">
                  <c:v>103.6</c:v>
                </c:pt>
                <c:pt idx="2">
                  <c:v>101.8</c:v>
                </c:pt>
                <c:pt idx="3">
                  <c:v>100.2</c:v>
                </c:pt>
                <c:pt idx="4">
                  <c:v>99.5</c:v>
                </c:pt>
                <c:pt idx="5">
                  <c:v>100.1</c:v>
                </c:pt>
                <c:pt idx="6">
                  <c:v>99.3</c:v>
                </c:pt>
                <c:pt idx="7" formatCode="General">
                  <c:v>100.9</c:v>
                </c:pt>
                <c:pt idx="8" formatCode="General">
                  <c:v>102</c:v>
                </c:pt>
                <c:pt idx="9" formatCode="General">
                  <c:v>102.5</c:v>
                </c:pt>
              </c:numCache>
            </c:numRef>
          </c:val>
          <c:smooth val="0"/>
        </c:ser>
        <c:ser>
          <c:idx val="1"/>
          <c:order val="1"/>
          <c:tx>
            <c:v>Прибыль прибыльных предприятий</c:v>
          </c:tx>
          <c:spPr>
            <a:ln w="12700">
              <a:solidFill>
                <a:srgbClr val="C00000"/>
              </a:solidFill>
            </a:ln>
          </c:spPr>
          <c:marker>
            <c:symbol val="triangle"/>
            <c:size val="7"/>
            <c:spPr>
              <a:ln>
                <a:solidFill>
                  <a:srgbClr val="FF33CC"/>
                </a:solidFill>
              </a:ln>
            </c:spPr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1612464163528246E-2"/>
                  <c:y val="-2.3628691983122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7033084004898295E-2"/>
                  <c:y val="2.3628691983122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01030879157313E-2"/>
                  <c:y val="3.0379746835443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7.4958659107774829E-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4648779481368112E-2"/>
                  <c:y val="-2.7004219409282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2470240203158026E-2"/>
                  <c:y val="2.3628691983122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1373236147593401E-2"/>
                  <c:y val="2.3628691983122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u="sng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'5'!$D$3:$M$3</c:f>
              <c:strCach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план</c:v>
                </c:pt>
                <c:pt idx="6">
                  <c:v>2016 оценка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'5'!$D$6:$M$6</c:f>
              <c:numCache>
                <c:formatCode>General</c:formatCode>
                <c:ptCount val="10"/>
                <c:pt idx="0">
                  <c:v>125.5</c:v>
                </c:pt>
                <c:pt idx="1">
                  <c:v>121.9</c:v>
                </c:pt>
                <c:pt idx="2">
                  <c:v>95.9</c:v>
                </c:pt>
                <c:pt idx="3" formatCode="0.0">
                  <c:v>107.24233983286908</c:v>
                </c:pt>
                <c:pt idx="4" formatCode="0.0">
                  <c:v>165.09598603839441</c:v>
                </c:pt>
                <c:pt idx="5" formatCode="0.0">
                  <c:v>98.791821561338296</c:v>
                </c:pt>
                <c:pt idx="6" formatCode="0.0">
                  <c:v>76</c:v>
                </c:pt>
                <c:pt idx="7" formatCode="0.0">
                  <c:v>101.42045454545455</c:v>
                </c:pt>
                <c:pt idx="8" formatCode="0.0">
                  <c:v>101.43540669856459</c:v>
                </c:pt>
                <c:pt idx="9" formatCode="0.0">
                  <c:v>101.81644359464627</c:v>
                </c:pt>
              </c:numCache>
            </c:numRef>
          </c:val>
          <c:smooth val="0"/>
        </c:ser>
        <c:ser>
          <c:idx val="2"/>
          <c:order val="2"/>
          <c:tx>
            <c:v>Индекс промпроизводства</c:v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5.248337895971842E-2"/>
                  <c:y val="-3.4135087544436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232824925042364E-2"/>
                  <c:y val="-3.751034918103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196714900273757E-2"/>
                  <c:y val="-2.4008239476394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018380915134971E-2"/>
                  <c:y val="-2.0632712050234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268934949810978E-2"/>
                  <c:y val="-2.4008239476394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675285896263358E-2"/>
                  <c:y val="3.0000199342170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109526932911249E-2"/>
                  <c:y val="-3.0759294328715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68934949810881E-2"/>
                  <c:y val="-4.7636931459516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i="0" baseline="0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'5'!$D$3:$M$3</c:f>
              <c:strCach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план</c:v>
                </c:pt>
                <c:pt idx="6">
                  <c:v>2016 оценка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'5'!$D$8:$M$8</c:f>
              <c:numCache>
                <c:formatCode>0.0</c:formatCode>
                <c:ptCount val="10"/>
                <c:pt idx="0">
                  <c:v>107</c:v>
                </c:pt>
                <c:pt idx="1">
                  <c:v>103.9</c:v>
                </c:pt>
                <c:pt idx="2">
                  <c:v>100.7</c:v>
                </c:pt>
                <c:pt idx="3">
                  <c:v>100.5</c:v>
                </c:pt>
                <c:pt idx="4">
                  <c:v>108</c:v>
                </c:pt>
                <c:pt idx="5">
                  <c:v>99.5</c:v>
                </c:pt>
                <c:pt idx="6">
                  <c:v>99.5</c:v>
                </c:pt>
                <c:pt idx="7" formatCode="General">
                  <c:v>101.4</c:v>
                </c:pt>
                <c:pt idx="8" formatCode="General">
                  <c:v>101.4</c:v>
                </c:pt>
                <c:pt idx="9" formatCode="General">
                  <c:v>101.8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5511168"/>
        <c:axId val="125512704"/>
      </c:lineChart>
      <c:catAx>
        <c:axId val="12551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512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512704"/>
        <c:scaling>
          <c:orientation val="minMax"/>
          <c:max val="170"/>
          <c:min val="7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511168"/>
        <c:crosses val="autoZero"/>
        <c:crossBetween val="between"/>
        <c:majorUnit val="10"/>
        <c:minorUnit val="2"/>
      </c:valAx>
      <c:spPr>
        <a:pattFill prst="narVert">
          <a:fgClr>
            <a:srgbClr val="CCFFFF"/>
          </a:fgClr>
          <a:bgClr>
            <a:schemeClr val="bg1"/>
          </a:bgClr>
        </a:patt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78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80" b="0" i="0" u="sng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80" b="0" i="0" u="none" strike="noStrike" baseline="0">
                <a:solidFill>
                  <a:schemeClr val="accent6">
                    <a:lumMod val="75000"/>
                  </a:schemeClr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6.4885496183206104E-2"/>
          <c:y val="0.91738146974456281"/>
          <c:w val="0.80474230493915533"/>
          <c:h val="4.859246051157432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отношения НДФЛ к собственным доходам областного бюджета, %</a:t>
            </a:r>
          </a:p>
        </c:rich>
      </c:tx>
      <c:layout>
        <c:manualLayout>
          <c:xMode val="edge"/>
          <c:yMode val="edge"/>
          <c:x val="0.16273156749296669"/>
          <c:y val="2.582046188081303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7447795823665889E-2"/>
          <c:y val="0.18410041841004185"/>
          <c:w val="0.87006960556844548"/>
          <c:h val="0.631799163179916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987309010967441E-3"/>
                  <c:y val="-4.93086899702388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6888454488432782E-3"/>
                  <c:y val="-7.11406890038328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9787164075488274E-3"/>
                  <c:y val="-1.7320198991862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9486453404461597E-3"/>
                  <c:y val="3.98906203670152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2385162991517089E-3"/>
                  <c:y val="1.17888402025061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8488164617473892E-3"/>
                  <c:y val="2.19593889675921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818745394644666E-3"/>
                  <c:y val="-5.31040314521350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'динамика 3.6.8'!$B$2:$J$2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оценка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'динамика 3.6.8'!$B$10:$J$10</c:f>
              <c:numCache>
                <c:formatCode>#,##0.0</c:formatCode>
                <c:ptCount val="9"/>
                <c:pt idx="0">
                  <c:v>27.429583868894696</c:v>
                </c:pt>
                <c:pt idx="1">
                  <c:v>28.102269070634051</c:v>
                </c:pt>
                <c:pt idx="2">
                  <c:v>29.609128296807064</c:v>
                </c:pt>
                <c:pt idx="3">
                  <c:v>32.437602187190478</c:v>
                </c:pt>
                <c:pt idx="4">
                  <c:v>29.891582675175254</c:v>
                </c:pt>
                <c:pt idx="5">
                  <c:v>31.051819754820826</c:v>
                </c:pt>
                <c:pt idx="6">
                  <c:v>28.39964187477775</c:v>
                </c:pt>
                <c:pt idx="7">
                  <c:v>29.224939815980488</c:v>
                </c:pt>
                <c:pt idx="8" formatCode="0.0">
                  <c:v>29.3616578052116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7426944"/>
        <c:axId val="127429632"/>
      </c:barChart>
      <c:catAx>
        <c:axId val="12742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4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429632"/>
        <c:scaling>
          <c:orientation val="minMax"/>
          <c:min val="25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426944"/>
        <c:crosses val="autoZero"/>
        <c:crossBetween val="between"/>
        <c:majorUnit val="5"/>
      </c:valAx>
      <c:spPr>
        <a:pattFill prst="solidDmnd">
          <a:fgClr>
            <a:schemeClr val="bg1"/>
          </a:fgClr>
          <a:bgClr>
            <a:schemeClr val="accent6">
              <a:lumMod val="20000"/>
              <a:lumOff val="80000"/>
            </a:schemeClr>
          </a:bgClr>
        </a:patt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отношения налога на имущество организаций к собственным доходам областного бюджета</a:t>
            </a:r>
          </a:p>
        </c:rich>
      </c:tx>
      <c:layout>
        <c:manualLayout>
          <c:xMode val="edge"/>
          <c:yMode val="edge"/>
          <c:x val="0.16985656565656565"/>
          <c:y val="4.456230158730158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004797544105983"/>
          <c:y val="0.17161904761904762"/>
          <c:w val="0.85646033060650906"/>
          <c:h val="0.6906164590319079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6848484848484844E-3"/>
                  <c:y val="-9.67976190476190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967919749966109E-3"/>
                  <c:y val="6.46482446908322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8721910804990713E-2"/>
                  <c:y val="4.2635204580010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943862257057247E-3"/>
                  <c:y val="-4.57622148027622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848826076288531E-3"/>
                  <c:y val="-3.1669759675592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4684343434343438E-3"/>
                  <c:y val="-5.63095238095238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2.0158730158730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0867314198336207E-3"/>
                  <c:y val="7.22864603953445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'динамика 3.6.8'!$B$2:$J$2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оценка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'динамика 3.6.8'!$B$8:$J$8</c:f>
              <c:numCache>
                <c:formatCode>#,##0.0</c:formatCode>
                <c:ptCount val="9"/>
                <c:pt idx="0">
                  <c:v>15.237178914284197</c:v>
                </c:pt>
                <c:pt idx="1">
                  <c:v>14.903742512173359</c:v>
                </c:pt>
                <c:pt idx="2">
                  <c:v>16.634566598433757</c:v>
                </c:pt>
                <c:pt idx="3">
                  <c:v>14.236548581064511</c:v>
                </c:pt>
                <c:pt idx="4">
                  <c:v>13.457754785938752</c:v>
                </c:pt>
                <c:pt idx="5">
                  <c:v>13.295485798966697</c:v>
                </c:pt>
                <c:pt idx="6">
                  <c:v>12.333996732560514</c:v>
                </c:pt>
                <c:pt idx="7">
                  <c:v>12.487073921060663</c:v>
                </c:pt>
                <c:pt idx="8" formatCode="0.0">
                  <c:v>12.413683359675515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5571072"/>
        <c:axId val="125572224"/>
      </c:barChart>
      <c:catAx>
        <c:axId val="12557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57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572224"/>
        <c:scaling>
          <c:orientation val="minMax"/>
          <c:max val="17"/>
          <c:min val="12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571072"/>
        <c:crosses val="autoZero"/>
        <c:crossBetween val="between"/>
        <c:majorUnit val="1"/>
      </c:valAx>
      <c:spPr>
        <a:pattFill prst="dotDmnd">
          <a:fgClr>
            <a:srgbClr val="C0C0C0"/>
          </a:fgClr>
          <a:bgClr>
            <a:srgbClr val="FFFFCC"/>
          </a:bgClr>
        </a:patt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Сопоставление темпов роста инвестиций, налога на имущество организаций в консолидированном бюджете и налоговой базы соп-х ценах, в %</a:t>
            </a:r>
          </a:p>
        </c:rich>
      </c:tx>
      <c:layout>
        <c:manualLayout>
          <c:xMode val="edge"/>
          <c:yMode val="edge"/>
          <c:x val="0.16783214007511821"/>
          <c:y val="7.246376811594203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167832167832161E-2"/>
          <c:y val="0.12637795275590552"/>
          <c:w val="0.89685314685314688"/>
          <c:h val="0.66244312676074413"/>
        </c:manualLayout>
      </c:layout>
      <c:lineChart>
        <c:grouping val="standard"/>
        <c:varyColors val="0"/>
        <c:ser>
          <c:idx val="0"/>
          <c:order val="0"/>
          <c:tx>
            <c:v>Объем инвестиций в основной капитал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2452538260303666E-3"/>
                  <c:y val="2.918904696815098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711217132341213E-2"/>
                  <c:y val="3.8006404456166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9427528455494785E-3"/>
                  <c:y val="-6.780509404539591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660098522167486E-2"/>
                  <c:y val="-3.6797066014669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093919204155388E-2"/>
                  <c:y val="5.0581344683545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3806309327223513E-2"/>
                  <c:y val="4.7364791079947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8834311446897119E-2"/>
                  <c:y val="4.2717972297258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324782810414544E-2"/>
                  <c:y val="-3.9933010198542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0478451084427068E-2"/>
                  <c:y val="-4.0551500405515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chemeClr val="tx2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'9'!$D$1:$L$1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оценка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'9'!$D$2:$L$2</c:f>
              <c:numCache>
                <c:formatCode>#,##0.0</c:formatCode>
                <c:ptCount val="9"/>
                <c:pt idx="0">
                  <c:v>117.3</c:v>
                </c:pt>
                <c:pt idx="1">
                  <c:v>100.7</c:v>
                </c:pt>
                <c:pt idx="2">
                  <c:v>85.4</c:v>
                </c:pt>
                <c:pt idx="3">
                  <c:v>95.8</c:v>
                </c:pt>
                <c:pt idx="4">
                  <c:v>88.6</c:v>
                </c:pt>
                <c:pt idx="5">
                  <c:v>92.2</c:v>
                </c:pt>
                <c:pt idx="6">
                  <c:v>100.1</c:v>
                </c:pt>
                <c:pt idx="7">
                  <c:v>101.6</c:v>
                </c:pt>
                <c:pt idx="8" formatCode="General">
                  <c:v>100.4</c:v>
                </c:pt>
              </c:numCache>
            </c:numRef>
          </c:val>
          <c:smooth val="0"/>
        </c:ser>
        <c:ser>
          <c:idx val="1"/>
          <c:order val="1"/>
          <c:tx>
            <c:v>Налог на имущество организаций в консолидированном бюджете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x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2405888075179409E-2"/>
                  <c:y val="-4.8676242305475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94837510013845E-2"/>
                  <c:y val="-3.8673359260749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0487783854604383E-2"/>
                  <c:y val="-2.5080376566621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389382282255208E-2"/>
                  <c:y val="-3.989597103281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28314206470883E-2"/>
                  <c:y val="-4.953326486363117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0287885684214076E-4"/>
                  <c:y val="9.020633369733892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2412983074127743E-2"/>
                  <c:y val="-4.721599581074263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3323299332068271E-2"/>
                  <c:y val="-2.4330900243309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7233547426231035E-3"/>
                  <c:y val="4.0551500405515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chemeClr val="accent2">
                        <a:lumMod val="75000"/>
                      </a:schemeClr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'9'!$D$1:$L$1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оценка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'9'!$D$5:$L$5</c:f>
              <c:numCache>
                <c:formatCode>#,##0.0</c:formatCode>
                <c:ptCount val="9"/>
                <c:pt idx="0">
                  <c:v>106.40904806786051</c:v>
                </c:pt>
                <c:pt idx="1">
                  <c:v>108.98770104068116</c:v>
                </c:pt>
                <c:pt idx="2">
                  <c:v>103.90334572490707</c:v>
                </c:pt>
                <c:pt idx="3">
                  <c:v>90.993500464252548</c:v>
                </c:pt>
                <c:pt idx="4">
                  <c:v>91.273996509598604</c:v>
                </c:pt>
                <c:pt idx="5">
                  <c:v>94.111094163188199</c:v>
                </c:pt>
                <c:pt idx="6">
                  <c:v>100.88958761305156</c:v>
                </c:pt>
                <c:pt idx="7">
                  <c:v>98.450509365622054</c:v>
                </c:pt>
                <c:pt idx="8">
                  <c:v>98.51978793054414</c:v>
                </c:pt>
              </c:numCache>
            </c:numRef>
          </c:val>
          <c:smooth val="0"/>
        </c:ser>
        <c:ser>
          <c:idx val="2"/>
          <c:order val="2"/>
          <c:tx>
            <c:v>Налоговая база</c:v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65064331993465E-2"/>
                  <c:y val="4.6755731586306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490288860499529E-2"/>
                  <c:y val="5.0374542598233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5384456253313163E-2"/>
                  <c:y val="-3.3702327551354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675684807759823E-2"/>
                  <c:y val="3.7712256770823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1585753330680074E-2"/>
                  <c:y val="-8.40980643842877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8.9914622741122871E-3"/>
                  <c:y val="-2.317315775625846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B05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484242791328757E-3"/>
                  <c:y val="2.7940465746613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40831964969896E-2"/>
                  <c:y val="4.0749796251018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9.3083868565577588E-3"/>
                  <c:y val="-2.02757502027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B05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'9'!$D$1:$L$1</c:f>
              <c:strCach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 оценка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'9'!$D$7:$L$7</c:f>
              <c:numCache>
                <c:formatCode>#,##0.0</c:formatCode>
                <c:ptCount val="9"/>
                <c:pt idx="0">
                  <c:v>105.36163746382279</c:v>
                </c:pt>
                <c:pt idx="1">
                  <c:v>108.56600688996632</c:v>
                </c:pt>
                <c:pt idx="2">
                  <c:v>117.19008827747246</c:v>
                </c:pt>
                <c:pt idx="3">
                  <c:v>90.458503153345035</c:v>
                </c:pt>
                <c:pt idx="4">
                  <c:v>88.768470119999549</c:v>
                </c:pt>
                <c:pt idx="5">
                  <c:v>96.149087349288251</c:v>
                </c:pt>
                <c:pt idx="6">
                  <c:v>96.260579508697916</c:v>
                </c:pt>
                <c:pt idx="7">
                  <c:v>97.437820110355887</c:v>
                </c:pt>
                <c:pt idx="8">
                  <c:v>97.499999811550609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7510400"/>
        <c:axId val="127511936"/>
      </c:lineChart>
      <c:catAx>
        <c:axId val="12751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511936"/>
        <c:crossesAt val="84"/>
        <c:auto val="1"/>
        <c:lblAlgn val="ctr"/>
        <c:lblOffset val="100"/>
        <c:tickLblSkip val="1"/>
        <c:tickMarkSkip val="1"/>
        <c:noMultiLvlLbl val="0"/>
      </c:catAx>
      <c:valAx>
        <c:axId val="127511936"/>
        <c:scaling>
          <c:orientation val="minMax"/>
          <c:max val="120"/>
          <c:min val="84"/>
        </c:scaling>
        <c:delete val="0"/>
        <c:axPos val="l"/>
        <c:majorGridlines>
          <c:spPr>
            <a:ln w="3175">
              <a:solidFill>
                <a:srgbClr val="C0504D">
                  <a:lumMod val="20000"/>
                  <a:lumOff val="80000"/>
                </a:srgbClr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7510400"/>
        <c:crosses val="autoZero"/>
        <c:crossBetween val="between"/>
        <c:majorUnit val="8"/>
      </c:valAx>
      <c:spPr>
        <a:pattFill prst="pct20">
          <a:fgClr>
            <a:srgbClr val="C0C0C0"/>
          </a:fgClr>
          <a:bgClr>
            <a:sysClr val="window" lastClr="FFFFFF">
              <a:lumMod val="95000"/>
            </a:sysClr>
          </a:bgClr>
        </a:patt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2412587412587413"/>
          <c:y val="0.86646094123177475"/>
          <c:w val="0.77447552447552448"/>
          <c:h val="0.1242237908576021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29912</Words>
  <Characters>170500</Characters>
  <Application>Microsoft Office Word</Application>
  <DocSecurity>0</DocSecurity>
  <Lines>1420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200012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Зигаева Екатерина Николаевна</cp:lastModifiedBy>
  <cp:revision>2</cp:revision>
  <cp:lastPrinted>2016-10-24T04:03:00Z</cp:lastPrinted>
  <dcterms:created xsi:type="dcterms:W3CDTF">2016-10-24T04:13:00Z</dcterms:created>
  <dcterms:modified xsi:type="dcterms:W3CDTF">2016-10-24T04:13:00Z</dcterms:modified>
</cp:coreProperties>
</file>