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80A" w:rsidRPr="00890AF8" w:rsidRDefault="008A680A" w:rsidP="008A680A">
      <w:pPr>
        <w:pStyle w:val="37"/>
        <w:rPr>
          <w:rStyle w:val="ListLabel10"/>
        </w:rPr>
      </w:pPr>
      <w:bookmarkStart w:id="0" w:name="_Toc210816475"/>
      <w:r w:rsidRPr="00890AF8">
        <w:rPr>
          <w:rStyle w:val="ListLabel10"/>
        </w:rPr>
        <w:t>Информация о результатах контрольного мероприятия «Аудит реализации мер, предпринимаемых государственными органами исполнительной власти и иными организациями в целях создания устойчивой системы обращения с твердыми коммунальными отходами и формирования экономики замкнутого цикла в 2022-2024 годах и истекшем периоде 2025 года (параллельно со Счетной палатой Российской Федерации)»</w:t>
      </w:r>
      <w:bookmarkEnd w:id="0"/>
    </w:p>
    <w:p w:rsidR="008A680A" w:rsidRPr="00485C77" w:rsidRDefault="008A680A" w:rsidP="008A680A">
      <w:pPr>
        <w:spacing w:line="276" w:lineRule="auto"/>
        <w:jc w:val="both"/>
        <w:rPr>
          <w:i/>
          <w:sz w:val="28"/>
          <w:szCs w:val="28"/>
        </w:rPr>
      </w:pPr>
    </w:p>
    <w:p w:rsidR="008A680A" w:rsidRPr="00A25B23" w:rsidRDefault="008A680A" w:rsidP="008A680A">
      <w:pPr>
        <w:spacing w:line="276" w:lineRule="auto"/>
        <w:jc w:val="both"/>
        <w:rPr>
          <w:b/>
          <w:sz w:val="28"/>
          <w:szCs w:val="28"/>
        </w:rPr>
      </w:pPr>
      <w:r w:rsidRPr="00A25B23">
        <w:rPr>
          <w:b/>
          <w:sz w:val="28"/>
          <w:szCs w:val="28"/>
        </w:rPr>
        <w:t>Основание для проведения контрольного мероприятия:</w:t>
      </w:r>
    </w:p>
    <w:p w:rsidR="008A680A" w:rsidRPr="00485C77" w:rsidRDefault="008A680A" w:rsidP="008A680A">
      <w:pPr>
        <w:pStyle w:val="a5"/>
        <w:spacing w:after="0" w:line="276" w:lineRule="auto"/>
        <w:jc w:val="both"/>
        <w:rPr>
          <w:i/>
          <w:sz w:val="28"/>
          <w:szCs w:val="28"/>
        </w:rPr>
      </w:pPr>
      <w:r w:rsidRPr="00485C77">
        <w:rPr>
          <w:sz w:val="28"/>
          <w:szCs w:val="28"/>
        </w:rPr>
        <w:t>пункт 2.3 плана работы Контрольно-счетной палаты на 2025 год, утвержденный приказом председателя Контрольно-счетной палаты от 26.12.2024 № 135.</w:t>
      </w:r>
    </w:p>
    <w:p w:rsidR="008A680A" w:rsidRPr="00485C77" w:rsidRDefault="008A680A" w:rsidP="008A680A">
      <w:pPr>
        <w:spacing w:line="276" w:lineRule="auto"/>
        <w:jc w:val="both"/>
        <w:rPr>
          <w:sz w:val="28"/>
          <w:szCs w:val="28"/>
        </w:rPr>
      </w:pPr>
      <w:r w:rsidRPr="00485C77">
        <w:rPr>
          <w:sz w:val="28"/>
          <w:szCs w:val="28"/>
        </w:rPr>
        <w:t>Объекты контрольного мероприятия: Департамент природных ресурсов и охраны окружающей среды Томской области, муниципальные образования Томской области.</w:t>
      </w:r>
    </w:p>
    <w:p w:rsidR="008A680A" w:rsidRPr="00485C77" w:rsidRDefault="008A680A" w:rsidP="008A680A">
      <w:pPr>
        <w:spacing w:line="276" w:lineRule="auto"/>
        <w:jc w:val="both"/>
        <w:rPr>
          <w:sz w:val="28"/>
          <w:szCs w:val="28"/>
        </w:rPr>
      </w:pPr>
    </w:p>
    <w:p w:rsidR="008A680A" w:rsidRPr="00485C77" w:rsidRDefault="008A680A" w:rsidP="008A680A">
      <w:pPr>
        <w:spacing w:line="276" w:lineRule="auto"/>
        <w:jc w:val="both"/>
        <w:rPr>
          <w:sz w:val="28"/>
          <w:szCs w:val="28"/>
        </w:rPr>
      </w:pPr>
      <w:r w:rsidRPr="00A25B23">
        <w:rPr>
          <w:b/>
          <w:sz w:val="28"/>
          <w:szCs w:val="28"/>
        </w:rPr>
        <w:t>Проверяемый период</w:t>
      </w:r>
      <w:r w:rsidRPr="00485C77">
        <w:rPr>
          <w:sz w:val="28"/>
          <w:szCs w:val="28"/>
        </w:rPr>
        <w:t>: 2022 – 2024 гг., истекший период 2025 года.</w:t>
      </w:r>
    </w:p>
    <w:p w:rsidR="008A680A" w:rsidRPr="00485C77" w:rsidRDefault="008A680A" w:rsidP="008A680A">
      <w:pPr>
        <w:spacing w:line="276" w:lineRule="auto"/>
        <w:jc w:val="both"/>
        <w:rPr>
          <w:sz w:val="28"/>
          <w:szCs w:val="28"/>
        </w:rPr>
      </w:pPr>
    </w:p>
    <w:p w:rsidR="008A680A" w:rsidRPr="00485C77" w:rsidRDefault="008A680A" w:rsidP="008A680A">
      <w:pPr>
        <w:spacing w:line="276" w:lineRule="auto"/>
        <w:jc w:val="both"/>
        <w:rPr>
          <w:sz w:val="28"/>
          <w:szCs w:val="28"/>
        </w:rPr>
      </w:pPr>
      <w:r w:rsidRPr="00A25B23">
        <w:rPr>
          <w:b/>
          <w:sz w:val="28"/>
          <w:szCs w:val="28"/>
        </w:rPr>
        <w:t>Вопросы мероприятия</w:t>
      </w:r>
      <w:r w:rsidRPr="00485C77">
        <w:rPr>
          <w:sz w:val="28"/>
          <w:szCs w:val="28"/>
        </w:rPr>
        <w:t>:</w:t>
      </w:r>
    </w:p>
    <w:p w:rsidR="008A680A" w:rsidRPr="00485C77" w:rsidRDefault="008A680A" w:rsidP="008A680A">
      <w:pPr>
        <w:pStyle w:val="a3"/>
        <w:numPr>
          <w:ilvl w:val="0"/>
          <w:numId w:val="6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485C77">
        <w:rPr>
          <w:sz w:val="28"/>
          <w:szCs w:val="28"/>
        </w:rPr>
        <w:t>Оценить соответствие деятельности объектов контрольного мероприятия по созданию устойчивой системы обращения с твердыми коммунальными отходами (далее – ТКО) и формированию экономики замкнутого цикла (далее – ЭЗЦ) положениям законодательных и иных нормативных правовых актов:</w:t>
      </w:r>
    </w:p>
    <w:p w:rsidR="008A680A" w:rsidRPr="00485C77" w:rsidRDefault="008A680A" w:rsidP="008A680A">
      <w:pPr>
        <w:pStyle w:val="a3"/>
        <w:numPr>
          <w:ilvl w:val="0"/>
          <w:numId w:val="7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485C77">
        <w:rPr>
          <w:sz w:val="28"/>
          <w:szCs w:val="28"/>
        </w:rPr>
        <w:t>оценить соответствие утвержденных территориальных схем и региональных программ в области обращения с отходами требованиям действующего законодательства Российской Федерации;</w:t>
      </w:r>
    </w:p>
    <w:p w:rsidR="008A680A" w:rsidRPr="00485C77" w:rsidRDefault="008A680A" w:rsidP="008A680A">
      <w:pPr>
        <w:pStyle w:val="a3"/>
        <w:numPr>
          <w:ilvl w:val="0"/>
          <w:numId w:val="7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485C77">
        <w:rPr>
          <w:sz w:val="28"/>
          <w:szCs w:val="28"/>
        </w:rPr>
        <w:t>определить обоснованность установления нормативов накопления отходов и тарифов на услуги по обращению с ТКО:</w:t>
      </w:r>
    </w:p>
    <w:p w:rsidR="008A680A" w:rsidRPr="00485C77" w:rsidRDefault="008A680A" w:rsidP="008A680A">
      <w:pPr>
        <w:pStyle w:val="a3"/>
        <w:numPr>
          <w:ilvl w:val="0"/>
          <w:numId w:val="7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485C77">
        <w:rPr>
          <w:sz w:val="28"/>
          <w:szCs w:val="28"/>
        </w:rPr>
        <w:t>Проверить соблюдение норм законодательства при выборе региональных операторов, провести анализ выполнения региональными операторами условий соглашений об организации деятельности по обращению с ТКО, заключаемых уполномоченным органом, и проверить достоверность отчетности, предоставляемой ими в соответствии с указанными соглашениями.</w:t>
      </w:r>
    </w:p>
    <w:p w:rsidR="008A680A" w:rsidRPr="00485C77" w:rsidRDefault="008A680A" w:rsidP="008A680A">
      <w:pPr>
        <w:pStyle w:val="a3"/>
        <w:numPr>
          <w:ilvl w:val="0"/>
          <w:numId w:val="6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485C77">
        <w:rPr>
          <w:sz w:val="28"/>
          <w:szCs w:val="28"/>
        </w:rPr>
        <w:t>Оценить эффективность использования бюджетных средств, направленных на создание устойчивой системы обращения с ТКО (аудит эффективности):</w:t>
      </w:r>
    </w:p>
    <w:p w:rsidR="008A680A" w:rsidRPr="00485C77" w:rsidRDefault="008A680A" w:rsidP="008A680A">
      <w:pPr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485C77">
        <w:rPr>
          <w:sz w:val="28"/>
          <w:szCs w:val="28"/>
        </w:rPr>
        <w:lastRenderedPageBreak/>
        <w:t xml:space="preserve">1) оценить использования средств на реализацию региональных проектов «ТКО»; </w:t>
      </w:r>
    </w:p>
    <w:p w:rsidR="008A680A" w:rsidRPr="00485C77" w:rsidRDefault="008A680A" w:rsidP="008A680A">
      <w:pPr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485C77">
        <w:rPr>
          <w:sz w:val="28"/>
          <w:szCs w:val="28"/>
        </w:rPr>
        <w:t>2) оценить достижение запланированных результатов реализации мероприятий в области   обращения с отходами;</w:t>
      </w:r>
    </w:p>
    <w:p w:rsidR="008A680A" w:rsidRPr="00485C77" w:rsidRDefault="008A680A" w:rsidP="008A680A">
      <w:pPr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485C77">
        <w:rPr>
          <w:sz w:val="28"/>
          <w:szCs w:val="28"/>
        </w:rPr>
        <w:t>3) оценить результативность и экономность субсидий, предоставленных региональным операторам из региональных бюджетов, а также эффективности использования государственного (муниципального) имущества.</w:t>
      </w:r>
    </w:p>
    <w:p w:rsidR="008A680A" w:rsidRPr="00485C77" w:rsidRDefault="008A680A" w:rsidP="008A680A">
      <w:pPr>
        <w:spacing w:line="276" w:lineRule="auto"/>
        <w:jc w:val="both"/>
        <w:rPr>
          <w:sz w:val="28"/>
          <w:szCs w:val="28"/>
        </w:rPr>
      </w:pPr>
    </w:p>
    <w:p w:rsidR="008A680A" w:rsidRPr="00485C77" w:rsidRDefault="008A680A" w:rsidP="008A680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85C77">
        <w:rPr>
          <w:sz w:val="28"/>
          <w:szCs w:val="28"/>
          <w:shd w:val="clear" w:color="auto" w:fill="FFFFFF"/>
        </w:rPr>
        <w:t xml:space="preserve">Распоряжением Администрации Томской области от 15.12.2011 № 1279-ра утверждена региональная программа «Развитие системы обращения с отходами производства и потребления на территории Томской области на 2012-2014 годы и на период до 2020 года» (срок реализации 2012-2020гг.); утратило силу с 11.05.2023 в связи с Распоряжением Администрации Томской области от 10.05.2023 № 304-ра «Об утверждении региональной программы «Обращение с отходами производства и потребления на территории Томской области» (далее – Региональная программа). </w:t>
      </w:r>
    </w:p>
    <w:p w:rsidR="008A680A" w:rsidRPr="00485C77" w:rsidRDefault="008A680A" w:rsidP="008A680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85C77">
        <w:rPr>
          <w:sz w:val="28"/>
          <w:szCs w:val="28"/>
          <w:shd w:val="clear" w:color="auto" w:fill="FFFFFF"/>
        </w:rPr>
        <w:t>Срок реализации Региональной программы 2023-2029гг.; корректировка Региональной программы не производилась.</w:t>
      </w:r>
    </w:p>
    <w:p w:rsidR="008A680A" w:rsidRPr="00485C77" w:rsidRDefault="008A680A" w:rsidP="008A680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5C77">
        <w:rPr>
          <w:color w:val="000000"/>
          <w:sz w:val="28"/>
          <w:szCs w:val="28"/>
        </w:rPr>
        <w:t xml:space="preserve">Региональной программой предусмотрено выполнение 21 мероприятия с общей потребностью в ресурсном обеспечении </w:t>
      </w:r>
      <w:r w:rsidRPr="00485C77">
        <w:rPr>
          <w:rFonts w:eastAsiaTheme="minorHAnsi"/>
          <w:sz w:val="28"/>
          <w:szCs w:val="28"/>
          <w:lang w:eastAsia="en-US"/>
        </w:rPr>
        <w:t xml:space="preserve">за счет всех источников на 2023-2029 гг. в размере </w:t>
      </w:r>
      <w:r w:rsidRPr="00485C77">
        <w:rPr>
          <w:color w:val="000000"/>
          <w:sz w:val="28"/>
          <w:szCs w:val="28"/>
        </w:rPr>
        <w:t>8 497 970,7 </w:t>
      </w:r>
      <w:proofErr w:type="spellStart"/>
      <w:r w:rsidRPr="00485C77">
        <w:rPr>
          <w:color w:val="000000"/>
          <w:sz w:val="28"/>
          <w:szCs w:val="28"/>
        </w:rPr>
        <w:t>тыс</w:t>
      </w:r>
      <w:proofErr w:type="gramStart"/>
      <w:r w:rsidRPr="00485C77">
        <w:rPr>
          <w:color w:val="000000"/>
          <w:sz w:val="28"/>
          <w:szCs w:val="28"/>
        </w:rPr>
        <w:t>.р</w:t>
      </w:r>
      <w:proofErr w:type="gramEnd"/>
      <w:r w:rsidRPr="00485C77">
        <w:rPr>
          <w:color w:val="000000"/>
          <w:sz w:val="28"/>
          <w:szCs w:val="28"/>
        </w:rPr>
        <w:t>уб</w:t>
      </w:r>
      <w:proofErr w:type="spellEnd"/>
      <w:r w:rsidRPr="00485C77">
        <w:rPr>
          <w:color w:val="000000"/>
          <w:sz w:val="28"/>
          <w:szCs w:val="28"/>
        </w:rPr>
        <w:t>.,</w:t>
      </w:r>
      <w:r w:rsidRPr="00485C77">
        <w:rPr>
          <w:rFonts w:eastAsiaTheme="minorHAnsi"/>
          <w:sz w:val="28"/>
          <w:szCs w:val="28"/>
          <w:lang w:eastAsia="en-US"/>
        </w:rPr>
        <w:t xml:space="preserve"> в том числе за счет средств:</w:t>
      </w:r>
    </w:p>
    <w:p w:rsidR="008A680A" w:rsidRPr="00485C77" w:rsidRDefault="008A680A" w:rsidP="008A680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85C77">
        <w:rPr>
          <w:rFonts w:eastAsiaTheme="minorHAnsi"/>
          <w:sz w:val="28"/>
          <w:szCs w:val="28"/>
          <w:lang w:eastAsia="en-US"/>
        </w:rPr>
        <w:t xml:space="preserve">- федерального бюджета – 224 618 </w:t>
      </w:r>
      <w:proofErr w:type="spellStart"/>
      <w:r w:rsidRPr="00485C77">
        <w:rPr>
          <w:rFonts w:eastAsiaTheme="minorHAnsi"/>
          <w:sz w:val="28"/>
          <w:szCs w:val="28"/>
          <w:lang w:eastAsia="en-US"/>
        </w:rPr>
        <w:t>тыс</w:t>
      </w:r>
      <w:proofErr w:type="gramStart"/>
      <w:r w:rsidRPr="00485C77">
        <w:rPr>
          <w:rFonts w:eastAsiaTheme="minorHAnsi"/>
          <w:sz w:val="28"/>
          <w:szCs w:val="28"/>
          <w:lang w:eastAsia="en-US"/>
        </w:rPr>
        <w:t>.р</w:t>
      </w:r>
      <w:proofErr w:type="gramEnd"/>
      <w:r w:rsidRPr="00485C77">
        <w:rPr>
          <w:rFonts w:eastAsiaTheme="minorHAnsi"/>
          <w:sz w:val="28"/>
          <w:szCs w:val="28"/>
          <w:lang w:eastAsia="en-US"/>
        </w:rPr>
        <w:t>уб</w:t>
      </w:r>
      <w:proofErr w:type="spellEnd"/>
      <w:r w:rsidRPr="00485C77">
        <w:rPr>
          <w:rFonts w:eastAsiaTheme="minorHAnsi"/>
          <w:sz w:val="28"/>
          <w:szCs w:val="28"/>
          <w:lang w:eastAsia="en-US"/>
        </w:rPr>
        <w:t>. (3%);</w:t>
      </w:r>
    </w:p>
    <w:p w:rsidR="008A680A" w:rsidRPr="00485C77" w:rsidRDefault="008A680A" w:rsidP="008A680A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85C77">
        <w:rPr>
          <w:rFonts w:eastAsiaTheme="minorHAnsi"/>
          <w:sz w:val="28"/>
          <w:szCs w:val="28"/>
          <w:lang w:eastAsia="en-US"/>
        </w:rPr>
        <w:t xml:space="preserve">- областного бюджета – 5 139 482,4 </w:t>
      </w:r>
      <w:proofErr w:type="spellStart"/>
      <w:r w:rsidRPr="00485C77">
        <w:rPr>
          <w:rFonts w:eastAsiaTheme="minorHAnsi"/>
          <w:sz w:val="28"/>
          <w:szCs w:val="28"/>
          <w:lang w:eastAsia="en-US"/>
        </w:rPr>
        <w:t>тыс</w:t>
      </w:r>
      <w:proofErr w:type="gramStart"/>
      <w:r w:rsidRPr="00485C77">
        <w:rPr>
          <w:rFonts w:eastAsiaTheme="minorHAnsi"/>
          <w:sz w:val="28"/>
          <w:szCs w:val="28"/>
          <w:lang w:eastAsia="en-US"/>
        </w:rPr>
        <w:t>.р</w:t>
      </w:r>
      <w:proofErr w:type="gramEnd"/>
      <w:r w:rsidRPr="00485C77">
        <w:rPr>
          <w:rFonts w:eastAsiaTheme="minorHAnsi"/>
          <w:sz w:val="28"/>
          <w:szCs w:val="28"/>
          <w:lang w:eastAsia="en-US"/>
        </w:rPr>
        <w:t>уб</w:t>
      </w:r>
      <w:proofErr w:type="spellEnd"/>
      <w:r w:rsidRPr="00485C77">
        <w:rPr>
          <w:rFonts w:eastAsiaTheme="minorHAnsi"/>
          <w:sz w:val="28"/>
          <w:szCs w:val="28"/>
          <w:lang w:eastAsia="en-US"/>
        </w:rPr>
        <w:t>. (60%);</w:t>
      </w:r>
    </w:p>
    <w:p w:rsidR="008A680A" w:rsidRPr="00485C77" w:rsidRDefault="008A680A" w:rsidP="008A680A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85C77">
        <w:rPr>
          <w:rFonts w:eastAsiaTheme="minorHAnsi"/>
          <w:sz w:val="28"/>
          <w:szCs w:val="28"/>
          <w:lang w:eastAsia="en-US"/>
        </w:rPr>
        <w:t xml:space="preserve">- местных бюджетов – 366 410,3 </w:t>
      </w:r>
      <w:proofErr w:type="spellStart"/>
      <w:r w:rsidRPr="00485C77">
        <w:rPr>
          <w:rFonts w:eastAsiaTheme="minorHAnsi"/>
          <w:sz w:val="28"/>
          <w:szCs w:val="28"/>
          <w:lang w:eastAsia="en-US"/>
        </w:rPr>
        <w:t>тыс</w:t>
      </w:r>
      <w:proofErr w:type="gramStart"/>
      <w:r w:rsidRPr="00485C77">
        <w:rPr>
          <w:rFonts w:eastAsiaTheme="minorHAnsi"/>
          <w:sz w:val="28"/>
          <w:szCs w:val="28"/>
          <w:lang w:eastAsia="en-US"/>
        </w:rPr>
        <w:t>.р</w:t>
      </w:r>
      <w:proofErr w:type="gramEnd"/>
      <w:r w:rsidRPr="00485C77">
        <w:rPr>
          <w:rFonts w:eastAsiaTheme="minorHAnsi"/>
          <w:sz w:val="28"/>
          <w:szCs w:val="28"/>
          <w:lang w:eastAsia="en-US"/>
        </w:rPr>
        <w:t>уб</w:t>
      </w:r>
      <w:proofErr w:type="spellEnd"/>
      <w:r w:rsidRPr="00485C77">
        <w:rPr>
          <w:rFonts w:eastAsiaTheme="minorHAnsi"/>
          <w:sz w:val="28"/>
          <w:szCs w:val="28"/>
          <w:lang w:eastAsia="en-US"/>
        </w:rPr>
        <w:t>. (4%);</w:t>
      </w:r>
    </w:p>
    <w:p w:rsidR="008A680A" w:rsidRPr="00485C77" w:rsidRDefault="008A680A" w:rsidP="008A680A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85C77">
        <w:rPr>
          <w:rFonts w:eastAsiaTheme="minorHAnsi"/>
          <w:sz w:val="28"/>
          <w:szCs w:val="28"/>
          <w:lang w:eastAsia="en-US"/>
        </w:rPr>
        <w:t xml:space="preserve">- внебюджетных источников – 2 767 460 </w:t>
      </w:r>
      <w:proofErr w:type="spellStart"/>
      <w:r w:rsidRPr="00485C77">
        <w:rPr>
          <w:rFonts w:eastAsiaTheme="minorHAnsi"/>
          <w:sz w:val="28"/>
          <w:szCs w:val="28"/>
          <w:lang w:eastAsia="en-US"/>
        </w:rPr>
        <w:t>тыс</w:t>
      </w:r>
      <w:proofErr w:type="gramStart"/>
      <w:r w:rsidRPr="00485C77">
        <w:rPr>
          <w:rFonts w:eastAsiaTheme="minorHAnsi"/>
          <w:sz w:val="28"/>
          <w:szCs w:val="28"/>
          <w:lang w:eastAsia="en-US"/>
        </w:rPr>
        <w:t>.р</w:t>
      </w:r>
      <w:proofErr w:type="gramEnd"/>
      <w:r w:rsidRPr="00485C77">
        <w:rPr>
          <w:rFonts w:eastAsiaTheme="minorHAnsi"/>
          <w:sz w:val="28"/>
          <w:szCs w:val="28"/>
          <w:lang w:eastAsia="en-US"/>
        </w:rPr>
        <w:t>уб</w:t>
      </w:r>
      <w:proofErr w:type="spellEnd"/>
      <w:r w:rsidRPr="00485C77">
        <w:rPr>
          <w:rFonts w:eastAsiaTheme="minorHAnsi"/>
          <w:sz w:val="28"/>
          <w:szCs w:val="28"/>
          <w:lang w:eastAsia="en-US"/>
        </w:rPr>
        <w:t>. (33%).</w:t>
      </w:r>
    </w:p>
    <w:p w:rsidR="008A680A" w:rsidRPr="00485C77" w:rsidRDefault="008A680A" w:rsidP="008A680A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85C77">
        <w:rPr>
          <w:color w:val="000000"/>
          <w:sz w:val="28"/>
          <w:szCs w:val="28"/>
        </w:rPr>
        <w:t xml:space="preserve">Региональная программа </w:t>
      </w:r>
      <w:r w:rsidRPr="00485C77">
        <w:rPr>
          <w:bCs/>
          <w:color w:val="000000"/>
          <w:sz w:val="28"/>
          <w:szCs w:val="28"/>
        </w:rPr>
        <w:t>(</w:t>
      </w:r>
      <w:r w:rsidRPr="00485C77">
        <w:rPr>
          <w:color w:val="000000"/>
          <w:sz w:val="28"/>
          <w:szCs w:val="28"/>
        </w:rPr>
        <w:t>раздел 5 «Перечень мероприятий в области обращения с отходами производства и потребления, планируемых к реализации на территории Томской области для достижения целевых показателей региональной программы» таблица 5.2 «Общая потребность в ресурсном обеспечении реализации мероприятий региональной программы») содержит мероприятия</w:t>
      </w:r>
      <w:r w:rsidRPr="00485C77">
        <w:rPr>
          <w:bCs/>
          <w:color w:val="000000"/>
          <w:sz w:val="28"/>
          <w:szCs w:val="28"/>
        </w:rPr>
        <w:t>, предусмотренные п.2 ст.13.2 Закона № 89-ФЗ</w:t>
      </w:r>
      <w:r w:rsidRPr="00485C77">
        <w:rPr>
          <w:color w:val="000000"/>
          <w:sz w:val="28"/>
          <w:szCs w:val="28"/>
        </w:rPr>
        <w:t xml:space="preserve">: </w:t>
      </w:r>
    </w:p>
    <w:p w:rsidR="008A680A" w:rsidRPr="00485C77" w:rsidRDefault="008A680A" w:rsidP="008A680A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</w:rPr>
      </w:pPr>
      <w:r w:rsidRPr="00485C77">
        <w:rPr>
          <w:bCs/>
          <w:color w:val="000000"/>
          <w:sz w:val="28"/>
          <w:szCs w:val="28"/>
        </w:rPr>
        <w:t>стимулирование строительства объектов, предназначенных для обработки, утилизации, обезвреживания, захоронения отходов, в том числе твердых коммунальных отходов (абз.2 п.2 ст.13.2)</w:t>
      </w:r>
    </w:p>
    <w:p w:rsidR="008A680A" w:rsidRPr="00485C77" w:rsidRDefault="008A680A" w:rsidP="008A680A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proofErr w:type="spellStart"/>
      <w:r w:rsidRPr="00485C77">
        <w:rPr>
          <w:bCs/>
          <w:color w:val="000000"/>
          <w:sz w:val="28"/>
          <w:szCs w:val="28"/>
        </w:rPr>
        <w:t>софинансирование</w:t>
      </w:r>
      <w:proofErr w:type="spellEnd"/>
      <w:r w:rsidRPr="00485C77">
        <w:rPr>
          <w:bCs/>
          <w:color w:val="000000"/>
          <w:sz w:val="28"/>
          <w:szCs w:val="28"/>
        </w:rPr>
        <w:t xml:space="preserve"> строительства объектов по сбору, транспортированию, обработке и утилизации отходов от использования товаров (абз.3 п.2 ст.13.2)</w:t>
      </w:r>
    </w:p>
    <w:p w:rsidR="008A680A" w:rsidRPr="00485C77" w:rsidRDefault="008A680A" w:rsidP="008A680A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85C77">
        <w:rPr>
          <w:bCs/>
          <w:color w:val="000000"/>
          <w:sz w:val="28"/>
          <w:szCs w:val="28"/>
        </w:rPr>
        <w:lastRenderedPageBreak/>
        <w:t>стимулирование утилизации отходов (абз.4 п.2 ст.13.2)</w:t>
      </w:r>
    </w:p>
    <w:p w:rsidR="008A680A" w:rsidRPr="00485C77" w:rsidRDefault="008A680A" w:rsidP="008A680A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85C77">
        <w:rPr>
          <w:bCs/>
          <w:color w:val="22272F"/>
          <w:sz w:val="28"/>
          <w:szCs w:val="28"/>
        </w:rPr>
        <w:t>выявление мест несанкционированного размещения отходов (абз.5 п.2 ст.13.2)</w:t>
      </w:r>
    </w:p>
    <w:p w:rsidR="008A680A" w:rsidRPr="00485C77" w:rsidRDefault="008A680A" w:rsidP="008A680A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85C77">
        <w:rPr>
          <w:bCs/>
          <w:color w:val="000000"/>
          <w:sz w:val="28"/>
          <w:szCs w:val="28"/>
        </w:rPr>
        <w:t>предупреждение причинения вреда окружающей среде при размещении бесхозяйных отходов, в том числе твердых коммунальных отходов, выявление случаев причинения такого вреда и ликвидацию его последствий (абз.6 п.2 ст.13.2)</w:t>
      </w:r>
    </w:p>
    <w:p w:rsidR="008A680A" w:rsidRPr="00485C77" w:rsidRDefault="008A680A" w:rsidP="008A680A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485C77">
        <w:rPr>
          <w:bCs/>
          <w:color w:val="000000"/>
          <w:sz w:val="28"/>
          <w:szCs w:val="28"/>
        </w:rPr>
        <w:t>обеспечение доступа к информации в сфере обращения с отходами (абз.7 п.2 ст.13.2)</w:t>
      </w:r>
    </w:p>
    <w:p w:rsidR="008A680A" w:rsidRPr="00485C77" w:rsidRDefault="008A680A" w:rsidP="008A680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85C77">
        <w:rPr>
          <w:color w:val="000000"/>
          <w:sz w:val="28"/>
          <w:szCs w:val="28"/>
        </w:rPr>
        <w:t>- информационное сопровождение деятельности Департамента природных ресурсов и охраны окружающей среды Томской области.</w:t>
      </w:r>
    </w:p>
    <w:p w:rsidR="008A680A" w:rsidRPr="00485C77" w:rsidRDefault="008A680A" w:rsidP="008A680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85C77">
        <w:rPr>
          <w:sz w:val="28"/>
          <w:szCs w:val="28"/>
          <w:shd w:val="clear" w:color="auto" w:fill="FFFFFF"/>
        </w:rPr>
        <w:t xml:space="preserve">Региональная программа, утвержденная Распоряжением Администрации Томской области от 10.05.2023 № 304-ра, опубликована на </w:t>
      </w:r>
      <w:proofErr w:type="gramStart"/>
      <w:r w:rsidRPr="00485C77">
        <w:rPr>
          <w:sz w:val="28"/>
          <w:szCs w:val="28"/>
          <w:shd w:val="clear" w:color="auto" w:fill="FFFFFF"/>
        </w:rPr>
        <w:t>официальном</w:t>
      </w:r>
      <w:proofErr w:type="gramEnd"/>
      <w:r w:rsidRPr="00485C77">
        <w:rPr>
          <w:sz w:val="28"/>
          <w:szCs w:val="28"/>
          <w:shd w:val="clear" w:color="auto" w:fill="FFFFFF"/>
        </w:rPr>
        <w:t xml:space="preserve"> интернет-портале Администрации Томской области </w:t>
      </w:r>
      <w:hyperlink r:id="rId6" w:history="1">
        <w:r w:rsidRPr="00485C77">
          <w:rPr>
            <w:rStyle w:val="a7"/>
            <w:sz w:val="28"/>
            <w:szCs w:val="28"/>
            <w:shd w:val="clear" w:color="auto" w:fill="FFFFFF"/>
          </w:rPr>
          <w:t>https://tomsk.gov.ru/</w:t>
        </w:r>
      </w:hyperlink>
      <w:r w:rsidRPr="00485C77">
        <w:rPr>
          <w:sz w:val="28"/>
          <w:szCs w:val="28"/>
          <w:shd w:val="clear" w:color="auto" w:fill="FFFFFF"/>
        </w:rPr>
        <w:t xml:space="preserve"> 11.05.2023.</w:t>
      </w:r>
    </w:p>
    <w:p w:rsidR="008A680A" w:rsidRPr="00485C77" w:rsidRDefault="008A680A" w:rsidP="008A680A">
      <w:pPr>
        <w:pStyle w:val="a8"/>
        <w:spacing w:line="276" w:lineRule="auto"/>
        <w:ind w:left="0" w:right="140"/>
        <w:jc w:val="both"/>
        <w:rPr>
          <w:color w:val="000000" w:themeColor="text1"/>
        </w:rPr>
      </w:pPr>
    </w:p>
    <w:p w:rsidR="008A680A" w:rsidRPr="00485C77" w:rsidRDefault="008A680A" w:rsidP="008A680A">
      <w:pPr>
        <w:pStyle w:val="ab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485C77">
        <w:rPr>
          <w:rFonts w:ascii="Times New Roman" w:hAnsi="Times New Roman"/>
          <w:b/>
          <w:sz w:val="28"/>
          <w:szCs w:val="28"/>
          <w:shd w:val="clear" w:color="auto" w:fill="FFFFFF"/>
        </w:rPr>
        <w:t>Выводы по результатам контрольного мероприятия:</w:t>
      </w:r>
    </w:p>
    <w:p w:rsidR="008A680A" w:rsidRPr="00485C77" w:rsidRDefault="008A680A" w:rsidP="008A680A">
      <w:pPr>
        <w:pStyle w:val="ab"/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Приказом Департамента природных ресурсов и охраны окружающей среды Томской области от 16.11.2022 № 199 утверждена Территориальная схема обращения с отходами, в том числе с твердыми коммунальными отходами, Томской области (далее – Территориальная схема). В Территориальной схеме не в полной мере учтены требования Правил от 22.09.2018 № 1130, а именно:</w:t>
      </w:r>
    </w:p>
    <w:p w:rsidR="008A680A" w:rsidRPr="00485C77" w:rsidRDefault="008A680A" w:rsidP="008A680A">
      <w:pPr>
        <w:pStyle w:val="ab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1 «Нахождение источников образования отходов» </w:t>
      </w:r>
    </w:p>
    <w:p w:rsidR="008A680A" w:rsidRPr="00485C77" w:rsidRDefault="008A680A" w:rsidP="008A680A">
      <w:pPr>
        <w:pStyle w:val="ab"/>
        <w:spacing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указано наименование муниципального образования, как источника образования твердых коммунальных отходов (</w:t>
      </w:r>
      <w:hyperlink r:id="rId7" w:anchor="/document/405758929/entry/55" w:tooltip="https://internet.garant.ru/#/document/405758929/entry/55" w:history="1">
        <w:proofErr w:type="gramStart"/>
        <w:r w:rsidRPr="00485C77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приложении</w:t>
        </w:r>
        <w:proofErr w:type="gramEnd"/>
        <w:r w:rsidRPr="00485C77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 xml:space="preserve"> 1</w:t>
        </w:r>
      </w:hyperlink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«Сводная информация по источникам образования ТКО»); </w:t>
      </w:r>
    </w:p>
    <w:p w:rsidR="008A680A" w:rsidRPr="00485C77" w:rsidRDefault="008A680A" w:rsidP="008A680A">
      <w:pPr>
        <w:pStyle w:val="ab"/>
        <w:spacing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масштаб изображения субъекта РФ – Томская область (рисунок 1.1 «Распределение источников образования ТКО» Территориальной схемы) не позволяет оценить точность и корректность </w:t>
      </w:r>
      <w:proofErr w:type="gramStart"/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нанесения точек расположения источников образования</w:t>
      </w:r>
      <w:proofErr w:type="gramEnd"/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отходов; данные при визуальном просмотре не масштабируются;</w:t>
      </w:r>
    </w:p>
    <w:p w:rsidR="008A680A" w:rsidRPr="00485C77" w:rsidRDefault="008A680A" w:rsidP="008A680A">
      <w:pPr>
        <w:pStyle w:val="ab"/>
        <w:spacing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Электронная модель территориальной схемы отражает источники в разрезе видов объектов без учета категорий, при этом в 30 случаях виды объектов отражены дважды, в 1 случае отражен не предусмотренный вид объекта;</w:t>
      </w:r>
    </w:p>
    <w:p w:rsidR="008A680A" w:rsidRPr="00485C77" w:rsidRDefault="008A680A" w:rsidP="008A680A">
      <w:pPr>
        <w:pStyle w:val="ab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разделе 2 «Количество образующихся отходов» содержатся неактуальные сведения в части содержания ссылок на приказ, утративший силу, и исключенных таблиц;</w:t>
      </w:r>
    </w:p>
    <w:p w:rsidR="008A680A" w:rsidRPr="00485C77" w:rsidRDefault="008A680A" w:rsidP="008A680A">
      <w:pPr>
        <w:pStyle w:val="ab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4 «Места накопления отходов» </w:t>
      </w:r>
    </w:p>
    <w:p w:rsidR="008A680A" w:rsidRPr="00485C77" w:rsidRDefault="008A680A" w:rsidP="008A680A">
      <w:pPr>
        <w:pStyle w:val="ab"/>
        <w:spacing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предусмотренная карта субъекта Томской области с нанесением данных о нахождении мест накопления отходов отсутствует;</w:t>
      </w:r>
    </w:p>
    <w:p w:rsidR="008A680A" w:rsidRPr="00485C77" w:rsidRDefault="008A680A" w:rsidP="008A680A">
      <w:pPr>
        <w:pStyle w:val="ab"/>
        <w:spacing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данные о количестве контейнеров и бункеров по зонам 2, 4, 5 отсутствуют;</w:t>
      </w:r>
    </w:p>
    <w:p w:rsidR="008A680A" w:rsidRPr="00485C77" w:rsidRDefault="008A680A" w:rsidP="008A680A">
      <w:pPr>
        <w:pStyle w:val="ab"/>
        <w:spacing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 приложении 16 «Данные о количестве контейнеров и бункеров, планируемых к приобретению региональными операторами» информация отражена в общем количестве контейнеров и бункеров, планируемых к приобретению без учета разбивки по региональным операторам;</w:t>
      </w:r>
    </w:p>
    <w:p w:rsidR="008A680A" w:rsidRPr="00485C77" w:rsidRDefault="008A680A" w:rsidP="008A680A">
      <w:pPr>
        <w:pStyle w:val="ab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5 «Места нахождения объектов обработки, утилизации, обезвреживания отходов и объектов размещения отходов, включенных в государственный реестр объектов размещения отходов»: </w:t>
      </w:r>
    </w:p>
    <w:p w:rsidR="008A680A" w:rsidRPr="00485C77" w:rsidRDefault="008A680A" w:rsidP="008A680A">
      <w:pPr>
        <w:pStyle w:val="ab"/>
        <w:spacing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не отражена информация о применяемом оборудовании объектов обработки, утилизации, обезвреживания;</w:t>
      </w:r>
    </w:p>
    <w:p w:rsidR="008A680A" w:rsidRPr="00485C77" w:rsidRDefault="008A680A" w:rsidP="008A680A">
      <w:pPr>
        <w:pStyle w:val="ab"/>
        <w:spacing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отражена информация о проектной и фактической мощности по объектам обработки, утилизации и обезвреживания отходов (приложения 11, 12 и 10), при этом требованиями предусмотрены сведения о производственной мощности;</w:t>
      </w:r>
    </w:p>
    <w:p w:rsidR="008A680A" w:rsidRPr="00485C77" w:rsidRDefault="008A680A" w:rsidP="008A680A">
      <w:pPr>
        <w:pStyle w:val="ab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разделе 7 «Схема потоков отходов от источников их образования до объектов обработки, утилизации, обезвреживания отходов и объектов размещения отходов, включенных в государственный реестр объектов размещения отходов» перспективная логистическая модель (схема потоков ТКО на период 2022–2032 годов) содержит информацию о схеме потоков на 2022-2024 годы по маршруту на не эксплуатирующийся полигон (Александровский район, Октябрьское сельское поселение, Чкаловское месторождение на полигон</w:t>
      </w:r>
      <w:proofErr w:type="gramEnd"/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ТБО НПС «</w:t>
      </w:r>
      <w:proofErr w:type="spellStart"/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Раскино</w:t>
      </w:r>
      <w:proofErr w:type="spellEnd"/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»);</w:t>
      </w:r>
      <w:proofErr w:type="gramEnd"/>
    </w:p>
    <w:p w:rsidR="008A680A" w:rsidRPr="00485C77" w:rsidRDefault="008A680A" w:rsidP="008A680A">
      <w:pPr>
        <w:pStyle w:val="ab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разделе 9 «Оценка объема соответствующих капитальных вложений в строительство, реконструкцию, выведение из эксплуатации объектов обработки, утилизации, обезвреживания, размещения отходов»</w:t>
      </w:r>
    </w:p>
    <w:p w:rsidR="008A680A" w:rsidRPr="00485C77" w:rsidRDefault="008A680A" w:rsidP="008A680A">
      <w:pPr>
        <w:pStyle w:val="ab"/>
        <w:spacing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отсутствует взаимосвязь отраженных мероприятий между разделами Территориальной схемы. Так, запланированные мероприятия по прекращению приема ТКО «МСК ООО «АБФ Ресурс» </w:t>
      </w:r>
      <w:proofErr w:type="spellStart"/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proofErr w:type="gramStart"/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.С</w:t>
      </w:r>
      <w:proofErr w:type="gramEnd"/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еверск</w:t>
      </w:r>
      <w:proofErr w:type="spellEnd"/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(2025г.) и по реконструкции объекта «Полигон ТБО </w:t>
      </w:r>
      <w:proofErr w:type="spellStart"/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с.Тогур</w:t>
      </w:r>
      <w:proofErr w:type="spellEnd"/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1 этап 1 очереди» (2025г.) (таблица 8.1), соответственно не предусматривает прогноз инвестиций (</w:t>
      </w:r>
      <w:hyperlink r:id="rId8" w:anchor="/document/405758929/entry/67" w:tooltip="https://internet.garant.ru/#/document/405758929/entry/67" w:history="1">
        <w:r w:rsidRPr="00485C77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приложение 13</w:t>
        </w:r>
      </w:hyperlink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и предусматривает мероприятие по рекультивации; мероприятия по проведению рекультивации по полигонам «Полигон ТБО № 2 Казанского НГКМ» и «Полигон ТБО Средне-</w:t>
      </w:r>
      <w:proofErr w:type="spellStart"/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Нюрольского</w:t>
      </w:r>
      <w:proofErr w:type="spellEnd"/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месторождения» (таблице 5.3) не нашли отражения в перечне мероприятий, предлагаемых территориальной схемой (таблица 8.1);</w:t>
      </w:r>
    </w:p>
    <w:p w:rsidR="008A680A" w:rsidRPr="00485C77" w:rsidRDefault="008A680A" w:rsidP="008A680A">
      <w:pPr>
        <w:pStyle w:val="ab"/>
        <w:spacing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мероприятия, предусмотренные Территориальной схемой (таблица 8.1 «Перечень мероприятий, предлагаемых территориальной схемой», </w:t>
      </w:r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13 «Сводная информация об объектах обращения с ТКО»), не в полном объеме включены в Региональную программу. </w:t>
      </w:r>
      <w:proofErr w:type="gramStart"/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Так, из запланированных мероприятий по строительству и реконструкции пунктов временного накопления (ПВН) в количестве 54 ед. (таблица 8.1 «Перечень мероприятий, предлагаемых территориальной схемой», приложение 13 «Сводная информация об объектах обращения с ТКО»), в Региональную программу включены 3 мероприятия по строительству площадок временного накопления в количестве 3 ед., при этом мероприятиями, предусмотренными Территориальной схемой (таблица 8.1.) предусмотрена реконструкция «ПВР «</w:t>
      </w:r>
      <w:proofErr w:type="spellStart"/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Могочино</w:t>
      </w:r>
      <w:proofErr w:type="spellEnd"/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 Региональной</w:t>
      </w:r>
      <w:proofErr w:type="gramEnd"/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программой – строительство указанного объекта; Территориальной схемой запланированы мероприятия по 31 объекту захоронения (полигоны), в том числе: ввод в эксплуатацию (1 объект), вывода из эксплуатации/подготовка к рекультивации (18 объектов), прекращение приема ТКО (10 объектов), реконструкция (2 объекта), при этом в Региональную программу включены мероприятия по 4 объектам, из них: по строительству (2 объекта) и реконструкции (2 объекта);</w:t>
      </w:r>
      <w:proofErr w:type="gramEnd"/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Территориальной схемой запланированы мероприятия по строительству </w:t>
      </w:r>
      <w:proofErr w:type="spellStart"/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инсинераторной</w:t>
      </w:r>
      <w:proofErr w:type="spellEnd"/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установки (</w:t>
      </w:r>
      <w:proofErr w:type="spellStart"/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proofErr w:type="gramStart"/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.К</w:t>
      </w:r>
      <w:proofErr w:type="gramEnd"/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едровый</w:t>
      </w:r>
      <w:proofErr w:type="spellEnd"/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(1 ед.), при этом в Региональной программе указанное мероприятие отсутствует;</w:t>
      </w:r>
    </w:p>
    <w:p w:rsidR="008A680A" w:rsidRPr="00485C77" w:rsidRDefault="008A680A" w:rsidP="008A680A">
      <w:pPr>
        <w:pStyle w:val="ab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разделе 10 «Прогнозные значения предельных тарифов в области обращения с твердыми коммунальными отходами» не включены сведения об изменении прогнозных значений предельных тарифов в области обращения с ТКО, связанных с включением планируемых расходов регионального оператора на приобретение и содержание контейнеров и бункеров в необходимую валовую выручку регионального оператора;</w:t>
      </w:r>
    </w:p>
    <w:p w:rsidR="008A680A" w:rsidRPr="00485C77" w:rsidRDefault="008A680A" w:rsidP="008A680A">
      <w:pPr>
        <w:pStyle w:val="ab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5C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раздел 11 «Сведения о зонах деятельности региональных операторов» не содержит сведений о зонах деятельности региональных операторов с указанием границ муниципальных образований, входящих в зону деятельности региональных операторов.</w:t>
      </w:r>
    </w:p>
    <w:p w:rsidR="008A680A" w:rsidRPr="00485C77" w:rsidRDefault="008A680A" w:rsidP="008A680A">
      <w:pPr>
        <w:pStyle w:val="a9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85C77"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>2. Проверкой установлено несоответствие между планируемыми и фактически закрепленными потоками ТКО</w:t>
      </w:r>
      <w:r w:rsidRPr="00485C77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. </w:t>
      </w:r>
    </w:p>
    <w:p w:rsidR="008A680A" w:rsidRDefault="008A680A" w:rsidP="008A680A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85C77">
        <w:rPr>
          <w:sz w:val="28"/>
          <w:szCs w:val="28"/>
          <w:shd w:val="clear" w:color="auto" w:fill="FFFFFF"/>
        </w:rPr>
        <w:t>3. Из-за отсутствия возможности отследить цикл перемещения отходов не представляется возможным подтвердить соблюдение фактических потоков ТКО, предусмо</w:t>
      </w:r>
      <w:r>
        <w:rPr>
          <w:sz w:val="28"/>
          <w:szCs w:val="28"/>
          <w:shd w:val="clear" w:color="auto" w:fill="FFFFFF"/>
        </w:rPr>
        <w:t>тренных Территориальной схемой.</w:t>
      </w:r>
    </w:p>
    <w:p w:rsidR="008A680A" w:rsidRPr="00485C77" w:rsidRDefault="008A680A" w:rsidP="008A680A">
      <w:pPr>
        <w:pStyle w:val="ab"/>
        <w:spacing w:line="276" w:lineRule="auto"/>
        <w:ind w:firstLine="709"/>
        <w:jc w:val="both"/>
        <w:rPr>
          <w:rFonts w:ascii="Times New Roman" w:eastAsia="PT Astra Serif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485C77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485C77">
        <w:rPr>
          <w:rFonts w:ascii="Times New Roman" w:eastAsia="PT Astra Serif" w:hAnsi="Times New Roman"/>
          <w:color w:val="000000"/>
          <w:sz w:val="28"/>
          <w:szCs w:val="28"/>
        </w:rPr>
        <w:t>При анализе отчетов об исполнении Соглашения об организации деятельности региональных операторов по обращению с ТКО установлено, что информация об объемах</w:t>
      </w:r>
      <w:r>
        <w:rPr>
          <w:rFonts w:ascii="Times New Roman" w:eastAsia="PT Astra Serif" w:hAnsi="Times New Roman"/>
          <w:color w:val="000000"/>
          <w:sz w:val="28"/>
          <w:szCs w:val="28"/>
        </w:rPr>
        <w:t>,</w:t>
      </w:r>
      <w:r w:rsidRPr="00485C77">
        <w:rPr>
          <w:rFonts w:ascii="Times New Roman" w:eastAsia="PT Astra Serif" w:hAnsi="Times New Roman"/>
          <w:color w:val="000000"/>
          <w:sz w:val="28"/>
          <w:szCs w:val="28"/>
        </w:rPr>
        <w:t xml:space="preserve"> вывезенных и захороненных (направленных на захоронение) отходов предоставлена региональными оператор</w:t>
      </w:r>
      <w:r>
        <w:rPr>
          <w:rFonts w:ascii="Times New Roman" w:eastAsia="PT Astra Serif" w:hAnsi="Times New Roman"/>
          <w:color w:val="000000"/>
          <w:sz w:val="28"/>
          <w:szCs w:val="28"/>
        </w:rPr>
        <w:t xml:space="preserve">ами в разных </w:t>
      </w:r>
      <w:r>
        <w:rPr>
          <w:rFonts w:ascii="Times New Roman" w:eastAsia="PT Astra Serif" w:hAnsi="Times New Roman"/>
          <w:color w:val="000000"/>
          <w:sz w:val="28"/>
          <w:szCs w:val="28"/>
        </w:rPr>
        <w:lastRenderedPageBreak/>
        <w:t xml:space="preserve">единицах измерения, тем самым, </w:t>
      </w:r>
      <w:r w:rsidRPr="00485C77">
        <w:rPr>
          <w:rFonts w:ascii="Times New Roman" w:eastAsia="PT Astra Serif" w:hAnsi="Times New Roman"/>
          <w:color w:val="000000"/>
          <w:sz w:val="28"/>
          <w:szCs w:val="28"/>
        </w:rPr>
        <w:t>не обеспечена согласованность единиц измерения на услуги по транспортированию и захоронению отходов.</w:t>
      </w:r>
    </w:p>
    <w:p w:rsidR="008A680A" w:rsidRPr="00485C77" w:rsidRDefault="008A680A" w:rsidP="008A680A">
      <w:pPr>
        <w:pStyle w:val="ab"/>
        <w:spacing w:line="276" w:lineRule="auto"/>
        <w:ind w:firstLine="709"/>
        <w:jc w:val="both"/>
        <w:rPr>
          <w:rFonts w:ascii="Times New Roman" w:eastAsia="PT Astra Serif" w:hAnsi="Times New Roman"/>
          <w:color w:val="000000"/>
          <w:sz w:val="28"/>
          <w:szCs w:val="28"/>
        </w:rPr>
      </w:pPr>
      <w:r>
        <w:rPr>
          <w:rFonts w:ascii="Times New Roman" w:eastAsia="PT Astra Serif" w:hAnsi="Times New Roman"/>
          <w:color w:val="000000"/>
          <w:sz w:val="28"/>
          <w:szCs w:val="28"/>
        </w:rPr>
        <w:t>5</w:t>
      </w:r>
      <w:r w:rsidRPr="00485C77">
        <w:rPr>
          <w:rFonts w:ascii="Times New Roman" w:eastAsia="PT Astra Serif" w:hAnsi="Times New Roman"/>
          <w:color w:val="000000"/>
          <w:sz w:val="28"/>
          <w:szCs w:val="28"/>
        </w:rPr>
        <w:t>. При сравнении фактически вывезенных объемов ТКО и объемов ТКО, принятых на захоронение полигонами, установлены незначительные отклонения.</w:t>
      </w:r>
    </w:p>
    <w:p w:rsidR="008A680A" w:rsidRPr="008A4615" w:rsidRDefault="008A680A" w:rsidP="008A680A">
      <w:pPr>
        <w:pStyle w:val="a3"/>
        <w:numPr>
          <w:ilvl w:val="0"/>
          <w:numId w:val="9"/>
        </w:numPr>
        <w:spacing w:line="276" w:lineRule="auto"/>
        <w:ind w:left="0" w:firstLine="709"/>
        <w:jc w:val="both"/>
        <w:rPr>
          <w:rFonts w:eastAsia="PT Astra Serif"/>
          <w:color w:val="000000" w:themeColor="text1"/>
          <w:sz w:val="28"/>
          <w:szCs w:val="28"/>
          <w:lang w:eastAsia="en-US"/>
        </w:rPr>
      </w:pPr>
      <w:r w:rsidRPr="008A4615">
        <w:rPr>
          <w:rFonts w:eastAsia="PT Astra Serif"/>
          <w:color w:val="000000" w:themeColor="text1"/>
          <w:sz w:val="28"/>
          <w:szCs w:val="28"/>
          <w:lang w:eastAsia="en-US"/>
        </w:rPr>
        <w:t>Показатель непосредственного результата мероприятий подпрограммы «</w:t>
      </w:r>
      <w:r w:rsidRPr="008A4615">
        <w:rPr>
          <w:rFonts w:eastAsia="PT Astra Serif"/>
          <w:color w:val="000000" w:themeColor="text1"/>
          <w:sz w:val="28"/>
          <w:szCs w:val="28"/>
          <w:highlight w:val="white"/>
          <w:lang w:eastAsia="en-US"/>
        </w:rPr>
        <w:t>Создание комплексной системы обращения с твердыми коммунальными отходами</w:t>
      </w:r>
      <w:r w:rsidRPr="008A4615">
        <w:rPr>
          <w:rFonts w:eastAsia="PT Astra Serif"/>
          <w:color w:val="000000" w:themeColor="text1"/>
          <w:sz w:val="28"/>
          <w:szCs w:val="28"/>
          <w:lang w:eastAsia="en-US"/>
        </w:rPr>
        <w:t>» - «</w:t>
      </w:r>
      <w:r w:rsidRPr="008A4615">
        <w:rPr>
          <w:rFonts w:eastAsia="PT Astra Serif"/>
          <w:color w:val="000000" w:themeColor="text1"/>
          <w:sz w:val="28"/>
          <w:szCs w:val="28"/>
          <w:highlight w:val="white"/>
          <w:lang w:eastAsia="en-US"/>
        </w:rPr>
        <w:t>Количество ликвидированных мест несанкционированного складирования отходов, ед.</w:t>
      </w:r>
      <w:r w:rsidRPr="008A4615">
        <w:rPr>
          <w:rFonts w:eastAsia="PT Astra Serif"/>
          <w:color w:val="000000" w:themeColor="text1"/>
          <w:sz w:val="28"/>
          <w:szCs w:val="28"/>
          <w:lang w:eastAsia="en-US"/>
        </w:rPr>
        <w:t>»</w:t>
      </w:r>
      <w:r w:rsidRPr="008A4615">
        <w:rPr>
          <w:rFonts w:eastAsia="PT Astra Serif"/>
          <w:bCs/>
          <w:color w:val="000000" w:themeColor="text1"/>
          <w:sz w:val="28"/>
          <w:szCs w:val="28"/>
          <w:lang w:eastAsia="en-US"/>
        </w:rPr>
        <w:t xml:space="preserve">, в 2023 году не выполнен, фактическое значение составило 128 единиц </w:t>
      </w:r>
      <w:proofErr w:type="gramStart"/>
      <w:r w:rsidRPr="008A4615">
        <w:rPr>
          <w:rFonts w:eastAsia="PT Astra Serif"/>
          <w:bCs/>
          <w:color w:val="000000" w:themeColor="text1"/>
          <w:sz w:val="28"/>
          <w:szCs w:val="28"/>
          <w:lang w:eastAsia="en-US"/>
        </w:rPr>
        <w:t>при</w:t>
      </w:r>
      <w:proofErr w:type="gramEnd"/>
      <w:r w:rsidRPr="008A4615">
        <w:rPr>
          <w:rFonts w:eastAsia="PT Astra Serif"/>
          <w:bCs/>
          <w:color w:val="000000" w:themeColor="text1"/>
          <w:sz w:val="28"/>
          <w:szCs w:val="28"/>
          <w:lang w:eastAsia="en-US"/>
        </w:rPr>
        <w:t xml:space="preserve"> плановом 202 единицы. </w:t>
      </w:r>
    </w:p>
    <w:p w:rsidR="008A680A" w:rsidRPr="008A4615" w:rsidRDefault="008A680A" w:rsidP="008A680A">
      <w:pPr>
        <w:pStyle w:val="a3"/>
        <w:numPr>
          <w:ilvl w:val="0"/>
          <w:numId w:val="9"/>
        </w:numPr>
        <w:spacing w:line="276" w:lineRule="auto"/>
        <w:ind w:left="0" w:firstLine="709"/>
        <w:jc w:val="both"/>
        <w:rPr>
          <w:rFonts w:eastAsia="PT Astra Serif"/>
          <w:color w:val="000000" w:themeColor="text1"/>
          <w:sz w:val="28"/>
          <w:szCs w:val="28"/>
          <w:lang w:eastAsia="en-US"/>
        </w:rPr>
      </w:pPr>
      <w:r w:rsidRPr="008A4615">
        <w:rPr>
          <w:rFonts w:eastAsia="PT Astra Serif"/>
          <w:bCs/>
          <w:color w:val="000000" w:themeColor="text1"/>
          <w:sz w:val="28"/>
          <w:szCs w:val="28"/>
          <w:lang w:eastAsia="en-US"/>
        </w:rPr>
        <w:t>В нарушение ч.4.1 ст. 139 Бюджетного кодекса РФ</w:t>
      </w:r>
      <w:r w:rsidRPr="008A4615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все заключенные соглашения о предоставлении субсидий местным бюджетам из областного бюджета на ликвидацию мест несанкционированного складирования отходов за 2023-2024 годы </w:t>
      </w:r>
      <w:r w:rsidRPr="008A4615">
        <w:rPr>
          <w:rFonts w:eastAsia="PT Astra Serif"/>
          <w:bCs/>
          <w:color w:val="000000" w:themeColor="text1"/>
          <w:sz w:val="28"/>
          <w:szCs w:val="28"/>
          <w:lang w:eastAsia="en-US"/>
        </w:rPr>
        <w:t>заключены с нарушением установленного срока.</w:t>
      </w:r>
    </w:p>
    <w:p w:rsidR="008A680A" w:rsidRPr="00485C77" w:rsidRDefault="008A680A" w:rsidP="008A680A">
      <w:pPr>
        <w:numPr>
          <w:ilvl w:val="0"/>
          <w:numId w:val="8"/>
        </w:numPr>
        <w:spacing w:line="276" w:lineRule="auto"/>
        <w:ind w:left="0" w:firstLine="709"/>
        <w:jc w:val="both"/>
        <w:rPr>
          <w:rFonts w:eastAsia="PT Astra Serif"/>
          <w:color w:val="000000" w:themeColor="text1"/>
          <w:sz w:val="28"/>
          <w:szCs w:val="28"/>
          <w:lang w:eastAsia="en-US"/>
        </w:rPr>
      </w:pPr>
      <w:r w:rsidRPr="00485C77">
        <w:rPr>
          <w:rFonts w:eastAsia="PT Astra Serif"/>
          <w:sz w:val="28"/>
          <w:szCs w:val="28"/>
          <w:lang w:eastAsia="en-US"/>
        </w:rPr>
        <w:t>Установлены значительные расхождения в объемах мусора, указанных в актах осмотра и реестре мест несанкционированного складирования отходов на территории Томской области и информации, указанной в Предостережениях Управления по Томской области Федеральной службы по ветеринарному и фитосанитарному надзору о недопустимости нарушения обязательных требований.</w:t>
      </w:r>
    </w:p>
    <w:p w:rsidR="008A680A" w:rsidRPr="00485C77" w:rsidRDefault="008A680A" w:rsidP="008A680A">
      <w:pPr>
        <w:numPr>
          <w:ilvl w:val="0"/>
          <w:numId w:val="8"/>
        </w:numPr>
        <w:spacing w:line="276" w:lineRule="auto"/>
        <w:ind w:left="0" w:firstLine="709"/>
        <w:jc w:val="both"/>
        <w:rPr>
          <w:rFonts w:eastAsia="PT Astra Serif"/>
          <w:color w:val="000000" w:themeColor="text1"/>
          <w:sz w:val="28"/>
          <w:szCs w:val="28"/>
          <w:lang w:eastAsia="en-US"/>
        </w:rPr>
      </w:pPr>
      <w:r w:rsidRPr="00485C77">
        <w:rPr>
          <w:rFonts w:eastAsia="PT Astra Serif"/>
          <w:sz w:val="28"/>
          <w:szCs w:val="28"/>
          <w:lang w:eastAsia="en-US"/>
        </w:rPr>
        <w:t xml:space="preserve">Встречная проверка </w:t>
      </w:r>
      <w:r>
        <w:rPr>
          <w:rFonts w:eastAsia="PT Astra Serif"/>
          <w:sz w:val="28"/>
          <w:szCs w:val="28"/>
          <w:lang w:eastAsia="en-US"/>
        </w:rPr>
        <w:t xml:space="preserve">в </w:t>
      </w:r>
      <w:proofErr w:type="spellStart"/>
      <w:r>
        <w:rPr>
          <w:rFonts w:eastAsia="PT Astra Serif"/>
          <w:sz w:val="28"/>
          <w:szCs w:val="28"/>
          <w:lang w:eastAsia="en-US"/>
        </w:rPr>
        <w:t>Кривошеинском</w:t>
      </w:r>
      <w:proofErr w:type="spellEnd"/>
      <w:r>
        <w:rPr>
          <w:rFonts w:eastAsia="PT Astra Serif"/>
          <w:sz w:val="28"/>
          <w:szCs w:val="28"/>
          <w:lang w:eastAsia="en-US"/>
        </w:rPr>
        <w:t xml:space="preserve"> районе Томской области </w:t>
      </w:r>
      <w:r w:rsidRPr="00485C77">
        <w:rPr>
          <w:rFonts w:eastAsia="PT Astra Serif"/>
          <w:sz w:val="28"/>
          <w:szCs w:val="28"/>
          <w:lang w:eastAsia="en-US"/>
        </w:rPr>
        <w:t xml:space="preserve">показала, что в 5 из 8 населенных пунктов на сегодняшний день имеются несанкционированные свалки, что ставит под сомнение эффективность использования бюджетных средств в сумме 6 060,243 </w:t>
      </w:r>
      <w:proofErr w:type="spellStart"/>
      <w:r w:rsidRPr="00485C77">
        <w:rPr>
          <w:rFonts w:eastAsia="PT Astra Serif"/>
          <w:sz w:val="28"/>
          <w:szCs w:val="28"/>
          <w:lang w:eastAsia="en-US"/>
        </w:rPr>
        <w:t>тыс</w:t>
      </w:r>
      <w:proofErr w:type="gramStart"/>
      <w:r w:rsidRPr="00485C77">
        <w:rPr>
          <w:rFonts w:eastAsia="PT Astra Serif"/>
          <w:sz w:val="28"/>
          <w:szCs w:val="28"/>
          <w:lang w:eastAsia="en-US"/>
        </w:rPr>
        <w:t>.р</w:t>
      </w:r>
      <w:proofErr w:type="gramEnd"/>
      <w:r w:rsidRPr="00485C77">
        <w:rPr>
          <w:rFonts w:eastAsia="PT Astra Serif"/>
          <w:sz w:val="28"/>
          <w:szCs w:val="28"/>
          <w:lang w:eastAsia="en-US"/>
        </w:rPr>
        <w:t>уб</w:t>
      </w:r>
      <w:proofErr w:type="spellEnd"/>
      <w:r w:rsidRPr="00485C77">
        <w:rPr>
          <w:rFonts w:eastAsia="PT Astra Serif"/>
          <w:sz w:val="28"/>
          <w:szCs w:val="28"/>
          <w:lang w:eastAsia="en-US"/>
        </w:rPr>
        <w:t>., и достижение показателя результативности использования субсидии</w:t>
      </w:r>
      <w:r>
        <w:rPr>
          <w:rFonts w:eastAsia="PT Astra Serif"/>
          <w:sz w:val="28"/>
          <w:szCs w:val="28"/>
          <w:lang w:eastAsia="en-US"/>
        </w:rPr>
        <w:t>.</w:t>
      </w:r>
    </w:p>
    <w:p w:rsidR="008A680A" w:rsidRPr="00485C77" w:rsidRDefault="008A680A" w:rsidP="008A680A">
      <w:pPr>
        <w:numPr>
          <w:ilvl w:val="0"/>
          <w:numId w:val="8"/>
        </w:numPr>
        <w:spacing w:line="276" w:lineRule="auto"/>
        <w:ind w:left="0" w:firstLine="709"/>
        <w:jc w:val="both"/>
        <w:rPr>
          <w:rFonts w:eastAsia="PT Astra Serif"/>
          <w:color w:val="000000" w:themeColor="text1"/>
          <w:sz w:val="28"/>
          <w:szCs w:val="28"/>
          <w:lang w:eastAsia="en-US"/>
        </w:rPr>
      </w:pPr>
      <w:r w:rsidRPr="00485C77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2023 году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одна организация</w:t>
      </w:r>
      <w:r w:rsidRPr="00485C77">
        <w:rPr>
          <w:rFonts w:eastAsiaTheme="minorHAnsi"/>
          <w:color w:val="000000" w:themeColor="text1"/>
          <w:sz w:val="28"/>
          <w:szCs w:val="28"/>
          <w:lang w:eastAsia="en-US"/>
        </w:rPr>
        <w:t xml:space="preserve"> являлось исполнителем по контрактам на общую сумму 23 316,5 </w:t>
      </w:r>
      <w:proofErr w:type="spellStart"/>
      <w:r w:rsidRPr="00485C77">
        <w:rPr>
          <w:rFonts w:eastAsiaTheme="minorHAnsi"/>
          <w:color w:val="000000" w:themeColor="text1"/>
          <w:sz w:val="28"/>
          <w:szCs w:val="28"/>
          <w:lang w:eastAsia="en-US"/>
        </w:rPr>
        <w:t>тыс</w:t>
      </w:r>
      <w:proofErr w:type="gramStart"/>
      <w:r w:rsidRPr="00485C77">
        <w:rPr>
          <w:rFonts w:eastAsiaTheme="minorHAnsi"/>
          <w:color w:val="000000" w:themeColor="text1"/>
          <w:sz w:val="28"/>
          <w:szCs w:val="28"/>
          <w:lang w:eastAsia="en-US"/>
        </w:rPr>
        <w:t>.р</w:t>
      </w:r>
      <w:proofErr w:type="gramEnd"/>
      <w:r w:rsidRPr="00485C77">
        <w:rPr>
          <w:rFonts w:eastAsiaTheme="minorHAnsi"/>
          <w:color w:val="000000" w:themeColor="text1"/>
          <w:sz w:val="28"/>
          <w:szCs w:val="28"/>
          <w:lang w:eastAsia="en-US"/>
        </w:rPr>
        <w:t>уб</w:t>
      </w:r>
      <w:proofErr w:type="spellEnd"/>
      <w:r w:rsidRPr="00485C77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в 4 муниципальных образованиях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Томской области</w:t>
      </w:r>
      <w:r w:rsidRPr="00485C7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из 8 муниципальных образований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что привело к срыву сроков работ, предусмотренных муниципальными контрактами</w:t>
      </w:r>
      <w:r w:rsidRPr="00485C77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8A680A" w:rsidRPr="00485C77" w:rsidRDefault="008A680A" w:rsidP="008A680A">
      <w:pPr>
        <w:numPr>
          <w:ilvl w:val="0"/>
          <w:numId w:val="8"/>
        </w:numPr>
        <w:spacing w:line="276" w:lineRule="auto"/>
        <w:ind w:left="0" w:firstLine="709"/>
        <w:jc w:val="both"/>
        <w:rPr>
          <w:rFonts w:eastAsia="PT Astra Serif"/>
          <w:color w:val="000000" w:themeColor="text1"/>
          <w:sz w:val="28"/>
          <w:szCs w:val="28"/>
          <w:lang w:eastAsia="en-US"/>
        </w:rPr>
      </w:pPr>
      <w:r w:rsidRPr="00485C77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муниципальных контрактах </w:t>
      </w:r>
      <w:proofErr w:type="spellStart"/>
      <w:r w:rsidRPr="00485C77">
        <w:rPr>
          <w:rFonts w:eastAsiaTheme="minorHAnsi"/>
          <w:color w:val="000000" w:themeColor="text1"/>
          <w:sz w:val="28"/>
          <w:szCs w:val="28"/>
          <w:lang w:eastAsia="en-US"/>
        </w:rPr>
        <w:t>Асиновского</w:t>
      </w:r>
      <w:proofErr w:type="spellEnd"/>
      <w:r w:rsidRPr="00485C77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района 2023 года требования к качеству выполняемых работ предусмотрены формально.</w:t>
      </w:r>
    </w:p>
    <w:p w:rsidR="008A680A" w:rsidRPr="00485C77" w:rsidRDefault="008A680A" w:rsidP="008A680A">
      <w:pPr>
        <w:numPr>
          <w:ilvl w:val="0"/>
          <w:numId w:val="8"/>
        </w:numPr>
        <w:spacing w:line="276" w:lineRule="auto"/>
        <w:ind w:left="0" w:firstLine="709"/>
        <w:jc w:val="both"/>
        <w:rPr>
          <w:rFonts w:eastAsia="PT Astra Serif"/>
          <w:color w:val="000000" w:themeColor="text1"/>
          <w:sz w:val="28"/>
          <w:szCs w:val="28"/>
          <w:lang w:eastAsia="en-US"/>
        </w:rPr>
      </w:pPr>
      <w:r w:rsidRPr="00485C77">
        <w:rPr>
          <w:rFonts w:eastAsiaTheme="minorHAnsi"/>
          <w:color w:val="000000" w:themeColor="text1"/>
          <w:sz w:val="28"/>
          <w:szCs w:val="28"/>
          <w:lang w:eastAsia="en-US"/>
        </w:rPr>
        <w:t xml:space="preserve">Контрольное мероприятие выявило существующие недостатки при ликвидации мест несанкционированного складирования отходов. </w:t>
      </w:r>
      <w:proofErr w:type="gramStart"/>
      <w:r w:rsidRPr="00485C77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качестве причин </w:t>
      </w:r>
      <w:proofErr w:type="spellStart"/>
      <w:r w:rsidRPr="00485C77">
        <w:rPr>
          <w:rFonts w:eastAsiaTheme="minorHAnsi"/>
          <w:color w:val="000000" w:themeColor="text1"/>
          <w:sz w:val="28"/>
          <w:szCs w:val="28"/>
          <w:lang w:eastAsia="en-US"/>
        </w:rPr>
        <w:t>недостижения</w:t>
      </w:r>
      <w:proofErr w:type="spellEnd"/>
      <w:r w:rsidRPr="00485C7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показателей по свалкам, которые не были ликвидированы, указывалось «не было доступа к месту складирования отходов», «в предусмотренных координатах отходы не обнаружены», «отказ </w:t>
      </w:r>
      <w:r w:rsidRPr="00485C77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заключить муниципальный контракт по причине изменения места захоронения отходов», «место складирования отходов расположено в овраге глубиной 25 метров», что свидетельствует о недостатках при планировании ликвидации мест несанкционированного складирования отходов.</w:t>
      </w:r>
      <w:proofErr w:type="gramEnd"/>
    </w:p>
    <w:p w:rsidR="008A680A" w:rsidRPr="00485C77" w:rsidRDefault="008A680A" w:rsidP="008A680A">
      <w:pPr>
        <w:numPr>
          <w:ilvl w:val="0"/>
          <w:numId w:val="8"/>
        </w:numPr>
        <w:spacing w:line="276" w:lineRule="auto"/>
        <w:ind w:left="0" w:firstLine="709"/>
        <w:jc w:val="both"/>
        <w:rPr>
          <w:rFonts w:eastAsia="PT Astra Serif"/>
          <w:color w:val="000000" w:themeColor="text1"/>
          <w:sz w:val="28"/>
          <w:szCs w:val="28"/>
          <w:lang w:eastAsia="en-US"/>
        </w:rPr>
      </w:pPr>
      <w:r w:rsidRPr="00485C77">
        <w:rPr>
          <w:rFonts w:eastAsia="PT Astra Serif"/>
          <w:sz w:val="28"/>
          <w:szCs w:val="28"/>
          <w:lang w:eastAsia="en-US"/>
        </w:rPr>
        <w:t xml:space="preserve">В ходе торгов по 2-м из 4-х контрактов по ликвидации мест несанкционированного складирования отходов в городе Томске, существенно снизилась цена, так, по </w:t>
      </w:r>
      <w:r>
        <w:rPr>
          <w:rFonts w:eastAsia="PT Astra Serif"/>
          <w:sz w:val="28"/>
          <w:szCs w:val="28"/>
          <w:lang w:eastAsia="en-US"/>
        </w:rPr>
        <w:t xml:space="preserve">одному контракту снижение составило -20,5%, или </w:t>
      </w:r>
      <w:r>
        <w:rPr>
          <w:rFonts w:eastAsia="PT Astra Serif"/>
          <w:sz w:val="28"/>
          <w:szCs w:val="28"/>
          <w:lang w:eastAsia="en-US"/>
        </w:rPr>
        <w:br/>
      </w:r>
      <w:r w:rsidRPr="00485C77">
        <w:rPr>
          <w:rFonts w:eastAsia="PT Astra Serif"/>
          <w:sz w:val="28"/>
          <w:szCs w:val="28"/>
          <w:lang w:eastAsia="en-US"/>
        </w:rPr>
        <w:t>1 093,</w:t>
      </w:r>
      <w:r>
        <w:rPr>
          <w:rFonts w:eastAsia="PT Astra Serif"/>
          <w:sz w:val="28"/>
          <w:szCs w:val="28"/>
          <w:lang w:eastAsia="en-US"/>
        </w:rPr>
        <w:t>6</w:t>
      </w:r>
      <w:r w:rsidRPr="00485C77">
        <w:rPr>
          <w:rFonts w:eastAsia="PT Astra Serif"/>
          <w:sz w:val="28"/>
          <w:szCs w:val="28"/>
          <w:lang w:eastAsia="en-US"/>
        </w:rPr>
        <w:t xml:space="preserve"> </w:t>
      </w:r>
      <w:proofErr w:type="spellStart"/>
      <w:r w:rsidRPr="00485C77">
        <w:rPr>
          <w:rFonts w:eastAsia="PT Astra Serif"/>
          <w:sz w:val="28"/>
          <w:szCs w:val="28"/>
          <w:lang w:eastAsia="en-US"/>
        </w:rPr>
        <w:t>тыс</w:t>
      </w:r>
      <w:proofErr w:type="gramStart"/>
      <w:r w:rsidRPr="00485C77">
        <w:rPr>
          <w:rFonts w:eastAsia="PT Astra Serif"/>
          <w:sz w:val="28"/>
          <w:szCs w:val="28"/>
          <w:lang w:eastAsia="en-US"/>
        </w:rPr>
        <w:t>.р</w:t>
      </w:r>
      <w:proofErr w:type="gramEnd"/>
      <w:r w:rsidRPr="00485C77">
        <w:rPr>
          <w:rFonts w:eastAsia="PT Astra Serif"/>
          <w:sz w:val="28"/>
          <w:szCs w:val="28"/>
          <w:lang w:eastAsia="en-US"/>
        </w:rPr>
        <w:t>уб</w:t>
      </w:r>
      <w:proofErr w:type="spellEnd"/>
      <w:r w:rsidRPr="00485C77">
        <w:rPr>
          <w:rFonts w:eastAsia="PT Astra Serif"/>
          <w:sz w:val="28"/>
          <w:szCs w:val="28"/>
          <w:lang w:eastAsia="en-US"/>
        </w:rPr>
        <w:t>.</w:t>
      </w:r>
      <w:r>
        <w:rPr>
          <w:rFonts w:eastAsia="PT Astra Serif"/>
          <w:sz w:val="28"/>
          <w:szCs w:val="28"/>
          <w:lang w:eastAsia="en-US"/>
        </w:rPr>
        <w:t>, п</w:t>
      </w:r>
      <w:r w:rsidRPr="00485C77">
        <w:rPr>
          <w:rFonts w:eastAsia="PT Astra Serif"/>
          <w:sz w:val="28"/>
          <w:szCs w:val="28"/>
          <w:lang w:eastAsia="en-US"/>
        </w:rPr>
        <w:t xml:space="preserve">о </w:t>
      </w:r>
      <w:r>
        <w:rPr>
          <w:rFonts w:eastAsia="PT Astra Serif"/>
          <w:sz w:val="28"/>
          <w:szCs w:val="28"/>
          <w:lang w:eastAsia="en-US"/>
        </w:rPr>
        <w:t xml:space="preserve">другому </w:t>
      </w:r>
      <w:r w:rsidRPr="00485C77">
        <w:rPr>
          <w:rFonts w:eastAsia="PT Astra Serif"/>
          <w:sz w:val="28"/>
          <w:szCs w:val="28"/>
          <w:lang w:eastAsia="en-US"/>
        </w:rPr>
        <w:t xml:space="preserve">контракту снижение составило -47%, или </w:t>
      </w:r>
      <w:r>
        <w:rPr>
          <w:rFonts w:eastAsia="PT Astra Serif"/>
          <w:sz w:val="28"/>
          <w:szCs w:val="28"/>
          <w:lang w:eastAsia="en-US"/>
        </w:rPr>
        <w:br/>
      </w:r>
      <w:r w:rsidRPr="00485C77">
        <w:rPr>
          <w:rFonts w:eastAsia="PT Astra Serif"/>
          <w:sz w:val="28"/>
          <w:szCs w:val="28"/>
          <w:lang w:eastAsia="en-US"/>
        </w:rPr>
        <w:t>2 667,0</w:t>
      </w:r>
      <w:r>
        <w:rPr>
          <w:rFonts w:eastAsia="PT Astra Serif"/>
          <w:sz w:val="28"/>
          <w:szCs w:val="28"/>
          <w:lang w:eastAsia="en-US"/>
        </w:rPr>
        <w:t>5</w:t>
      </w:r>
      <w:r w:rsidRPr="00485C77">
        <w:rPr>
          <w:rFonts w:eastAsia="PT Astra Serif"/>
          <w:sz w:val="28"/>
          <w:szCs w:val="28"/>
          <w:lang w:eastAsia="en-US"/>
        </w:rPr>
        <w:t xml:space="preserve"> </w:t>
      </w:r>
      <w:proofErr w:type="spellStart"/>
      <w:r w:rsidRPr="00485C77">
        <w:rPr>
          <w:rFonts w:eastAsia="PT Astra Serif"/>
          <w:sz w:val="28"/>
          <w:szCs w:val="28"/>
          <w:lang w:eastAsia="en-US"/>
        </w:rPr>
        <w:t>тыс.руб</w:t>
      </w:r>
      <w:proofErr w:type="spellEnd"/>
      <w:r w:rsidRPr="00485C77">
        <w:rPr>
          <w:rFonts w:eastAsia="PT Astra Serif"/>
          <w:sz w:val="28"/>
          <w:szCs w:val="28"/>
          <w:lang w:eastAsia="en-US"/>
        </w:rPr>
        <w:t>. Данные факты могут свидетельствовать о недостатках при обосновании НМЦК мероприятий по ликвидации мест несанкционированного складирования отходов со стороны Администрации города Томска.</w:t>
      </w:r>
    </w:p>
    <w:p w:rsidR="008A680A" w:rsidRPr="00485C77" w:rsidRDefault="008A680A" w:rsidP="008A680A">
      <w:pPr>
        <w:numPr>
          <w:ilvl w:val="0"/>
          <w:numId w:val="8"/>
        </w:numPr>
        <w:spacing w:line="276" w:lineRule="auto"/>
        <w:ind w:left="0" w:firstLine="709"/>
        <w:jc w:val="both"/>
        <w:rPr>
          <w:rFonts w:eastAsia="PT Astra Serif"/>
          <w:color w:val="000000" w:themeColor="text1"/>
          <w:sz w:val="28"/>
          <w:szCs w:val="28"/>
          <w:lang w:eastAsia="en-US"/>
        </w:rPr>
      </w:pPr>
      <w:r w:rsidRPr="00485C77">
        <w:rPr>
          <w:rFonts w:eastAsia="PT Astra Serif"/>
          <w:sz w:val="28"/>
          <w:szCs w:val="28"/>
          <w:lang w:eastAsia="en-US"/>
        </w:rPr>
        <w:t xml:space="preserve">В заключенных Департаментом соглашениях с муниципальными образованиями (городским округом), предусмотрен </w:t>
      </w:r>
      <w:r>
        <w:rPr>
          <w:rFonts w:eastAsia="PT Astra Serif"/>
          <w:sz w:val="28"/>
          <w:szCs w:val="28"/>
          <w:lang w:eastAsia="en-US"/>
        </w:rPr>
        <w:t>пункт,</w:t>
      </w:r>
      <w:r w:rsidRPr="00485C77">
        <w:rPr>
          <w:rFonts w:eastAsia="PT Astra Serif"/>
          <w:sz w:val="28"/>
          <w:szCs w:val="28"/>
          <w:lang w:eastAsia="en-US"/>
        </w:rPr>
        <w:t xml:space="preserve"> в котором указано о предоставлении главному распорядителю бюджетных средств:</w:t>
      </w:r>
    </w:p>
    <w:p w:rsidR="008A680A" w:rsidRPr="00485C77" w:rsidRDefault="008A680A" w:rsidP="008A680A">
      <w:pPr>
        <w:spacing w:line="276" w:lineRule="auto"/>
        <w:ind w:firstLine="709"/>
        <w:jc w:val="both"/>
        <w:rPr>
          <w:rFonts w:eastAsia="PT Astra Serif"/>
          <w:color w:val="000000"/>
          <w:sz w:val="28"/>
          <w:szCs w:val="28"/>
          <w:lang w:eastAsia="en-US"/>
        </w:rPr>
      </w:pPr>
      <w:r w:rsidRPr="00485C77">
        <w:rPr>
          <w:rFonts w:eastAsia="PT Astra Serif"/>
          <w:sz w:val="28"/>
          <w:szCs w:val="28"/>
          <w:lang w:eastAsia="en-US"/>
        </w:rPr>
        <w:t xml:space="preserve">- заверенных копий документов, подтверждающих передачу вывезенных отходов на полигон, включенный в Государственный реестр объектов размещения отходов. В данном пункте не </w:t>
      </w:r>
      <w:proofErr w:type="gramStart"/>
      <w:r w:rsidRPr="00485C77">
        <w:rPr>
          <w:rFonts w:eastAsia="PT Astra Serif"/>
          <w:sz w:val="28"/>
          <w:szCs w:val="28"/>
          <w:lang w:eastAsia="en-US"/>
        </w:rPr>
        <w:t>конкретизировано</w:t>
      </w:r>
      <w:proofErr w:type="gramEnd"/>
      <w:r w:rsidRPr="00485C77">
        <w:rPr>
          <w:rFonts w:eastAsia="PT Astra Serif"/>
          <w:sz w:val="28"/>
          <w:szCs w:val="28"/>
          <w:lang w:eastAsia="en-US"/>
        </w:rPr>
        <w:t xml:space="preserve"> какие документы необходимо предоставлять, при этом муниципальные образования в основном предоставляли справки с полигона </w:t>
      </w:r>
      <w:r w:rsidRPr="00485C77">
        <w:rPr>
          <w:rFonts w:eastAsia="PT Astra Serif"/>
          <w:color w:val="000000"/>
          <w:sz w:val="28"/>
          <w:szCs w:val="28"/>
          <w:lang w:eastAsia="en-US"/>
        </w:rPr>
        <w:t xml:space="preserve">захоронения отходов. По мнению Контрольно-счетной палаты Томской области справка не является документом, который подтверждает передачу отходов на полигон, а в ней указан общий вес отходов, который был принят за период, что также не подтверждает передачу вывезенных отходов на полигон т.к. отсутствует информация о времени, дате, автомобилях с указанием государственного </w:t>
      </w:r>
      <w:proofErr w:type="gramStart"/>
      <w:r w:rsidRPr="00485C77">
        <w:rPr>
          <w:rFonts w:eastAsia="PT Astra Serif"/>
          <w:color w:val="000000"/>
          <w:sz w:val="28"/>
          <w:szCs w:val="28"/>
          <w:lang w:eastAsia="en-US"/>
        </w:rPr>
        <w:t>номера</w:t>
      </w:r>
      <w:proofErr w:type="gramEnd"/>
      <w:r w:rsidRPr="00485C77">
        <w:rPr>
          <w:rFonts w:eastAsia="PT Astra Serif"/>
          <w:color w:val="000000"/>
          <w:sz w:val="28"/>
          <w:szCs w:val="28"/>
          <w:lang w:eastAsia="en-US"/>
        </w:rPr>
        <w:t xml:space="preserve"> на которых привезены отходы, а также вес данных отходов.</w:t>
      </w:r>
    </w:p>
    <w:p w:rsidR="008A680A" w:rsidRPr="00485C77" w:rsidRDefault="008A680A" w:rsidP="008A680A">
      <w:pPr>
        <w:numPr>
          <w:ilvl w:val="0"/>
          <w:numId w:val="3"/>
        </w:numPr>
        <w:spacing w:line="276" w:lineRule="auto"/>
        <w:ind w:left="0" w:firstLine="709"/>
        <w:jc w:val="both"/>
        <w:rPr>
          <w:rFonts w:eastAsia="PT Astra Serif"/>
          <w:color w:val="000000"/>
          <w:sz w:val="28"/>
          <w:szCs w:val="28"/>
          <w:lang w:eastAsia="en-US"/>
        </w:rPr>
      </w:pPr>
      <w:r w:rsidRPr="00485C77">
        <w:rPr>
          <w:rFonts w:eastAsia="PT Astra Serif"/>
          <w:color w:val="000000"/>
          <w:sz w:val="28"/>
          <w:szCs w:val="28"/>
          <w:lang w:eastAsia="en-US"/>
        </w:rPr>
        <w:t xml:space="preserve">заверенных копий товарных накладных/счетов-фактур/универсальных передаточных документов/актов выполненных работ. При этом в соглашениях не предусматриваются предоставление фото, видео фиксации до и после проведения погрузочно-разгрузочных работ и при перевозке, а также карты схемы из спутниковой системы ГЛОНАСС или ГЛОНАСС/GPS, как предусмотрено в некоторых контрактах. </w:t>
      </w:r>
    </w:p>
    <w:p w:rsidR="008A680A" w:rsidRPr="00485C77" w:rsidRDefault="008A680A" w:rsidP="008A680A">
      <w:pPr>
        <w:pStyle w:val="ab"/>
        <w:spacing w:line="276" w:lineRule="auto"/>
        <w:jc w:val="both"/>
        <w:rPr>
          <w:rFonts w:ascii="Times New Roman" w:eastAsia="PT Astra Serif" w:hAnsi="Times New Roman"/>
          <w:color w:val="000000"/>
          <w:sz w:val="28"/>
          <w:szCs w:val="28"/>
        </w:rPr>
      </w:pPr>
    </w:p>
    <w:p w:rsidR="008A680A" w:rsidRPr="00485C77" w:rsidRDefault="008A680A" w:rsidP="008A680A">
      <w:pPr>
        <w:pStyle w:val="ab"/>
        <w:spacing w:line="276" w:lineRule="auto"/>
        <w:jc w:val="both"/>
        <w:rPr>
          <w:rFonts w:ascii="Times New Roman" w:eastAsia="PT Astra Serif" w:hAnsi="Times New Roman"/>
          <w:b/>
          <w:color w:val="000000"/>
          <w:sz w:val="28"/>
          <w:szCs w:val="28"/>
        </w:rPr>
      </w:pPr>
      <w:r w:rsidRPr="00485C77">
        <w:rPr>
          <w:rFonts w:ascii="Times New Roman" w:eastAsia="PT Astra Serif" w:hAnsi="Times New Roman"/>
          <w:b/>
          <w:color w:val="000000"/>
          <w:sz w:val="28"/>
          <w:szCs w:val="28"/>
        </w:rPr>
        <w:t>Рекомендации по результатам контрольного мероприятия:</w:t>
      </w:r>
    </w:p>
    <w:p w:rsidR="008A680A" w:rsidRPr="00485C77" w:rsidRDefault="008A680A" w:rsidP="008A680A">
      <w:pPr>
        <w:pStyle w:val="ab"/>
        <w:spacing w:line="276" w:lineRule="auto"/>
        <w:jc w:val="both"/>
        <w:rPr>
          <w:rFonts w:ascii="Times New Roman" w:eastAsia="PT Astra Serif" w:hAnsi="Times New Roman"/>
          <w:color w:val="000000"/>
          <w:sz w:val="28"/>
          <w:szCs w:val="28"/>
        </w:rPr>
      </w:pPr>
      <w:r w:rsidRPr="00485C77">
        <w:rPr>
          <w:rFonts w:ascii="Times New Roman" w:eastAsia="PT Astra Serif" w:hAnsi="Times New Roman"/>
          <w:color w:val="000000"/>
          <w:sz w:val="28"/>
          <w:szCs w:val="28"/>
        </w:rPr>
        <w:t xml:space="preserve"> </w:t>
      </w:r>
    </w:p>
    <w:p w:rsidR="008A680A" w:rsidRPr="00485C77" w:rsidRDefault="008A680A" w:rsidP="008A680A">
      <w:pPr>
        <w:pStyle w:val="ab"/>
        <w:spacing w:line="276" w:lineRule="auto"/>
        <w:jc w:val="both"/>
        <w:rPr>
          <w:rFonts w:ascii="Times New Roman" w:eastAsia="PT Astra Serif" w:hAnsi="Times New Roman"/>
          <w:b/>
          <w:color w:val="000000"/>
          <w:sz w:val="28"/>
          <w:szCs w:val="28"/>
        </w:rPr>
      </w:pPr>
      <w:r w:rsidRPr="00485C77">
        <w:rPr>
          <w:rFonts w:ascii="Times New Roman" w:eastAsia="PT Astra Serif" w:hAnsi="Times New Roman"/>
          <w:b/>
          <w:color w:val="000000"/>
          <w:sz w:val="28"/>
          <w:szCs w:val="28"/>
        </w:rPr>
        <w:lastRenderedPageBreak/>
        <w:t xml:space="preserve">Администрации Томской области </w:t>
      </w:r>
      <w:r w:rsidRPr="00485C77">
        <w:rPr>
          <w:rFonts w:ascii="Times New Roman" w:eastAsia="PT Astra Serif" w:hAnsi="Times New Roman"/>
          <w:color w:val="000000"/>
          <w:sz w:val="28"/>
          <w:szCs w:val="28"/>
        </w:rPr>
        <w:t>(Департамент природных ресурсов</w:t>
      </w:r>
      <w:r w:rsidRPr="00485C77">
        <w:rPr>
          <w:rFonts w:ascii="Times New Roman" w:hAnsi="Times New Roman"/>
          <w:sz w:val="28"/>
          <w:szCs w:val="28"/>
        </w:rPr>
        <w:t xml:space="preserve"> и охраны окружающей среды Томской области, Департамент тарифного регулирования)</w:t>
      </w:r>
      <w:r w:rsidRPr="00485C77">
        <w:rPr>
          <w:rFonts w:ascii="Times New Roman" w:eastAsia="PT Astra Serif" w:hAnsi="Times New Roman"/>
          <w:color w:val="000000"/>
          <w:sz w:val="28"/>
          <w:szCs w:val="28"/>
        </w:rPr>
        <w:t>:</w:t>
      </w:r>
    </w:p>
    <w:p w:rsidR="008A680A" w:rsidRPr="00485C77" w:rsidRDefault="008A680A" w:rsidP="008A680A">
      <w:pPr>
        <w:pStyle w:val="ab"/>
        <w:spacing w:line="276" w:lineRule="auto"/>
        <w:jc w:val="both"/>
        <w:rPr>
          <w:rFonts w:ascii="Times New Roman" w:eastAsia="PT Astra Serif" w:hAnsi="Times New Roman"/>
          <w:b/>
          <w:color w:val="000000"/>
          <w:sz w:val="28"/>
          <w:szCs w:val="28"/>
        </w:rPr>
      </w:pPr>
    </w:p>
    <w:p w:rsidR="008A680A" w:rsidRPr="00485C77" w:rsidRDefault="008A680A" w:rsidP="008A680A">
      <w:pPr>
        <w:pStyle w:val="ab"/>
        <w:numPr>
          <w:ilvl w:val="3"/>
          <w:numId w:val="4"/>
        </w:numPr>
        <w:spacing w:line="276" w:lineRule="auto"/>
        <w:ind w:left="0" w:firstLine="0"/>
        <w:jc w:val="both"/>
        <w:rPr>
          <w:rFonts w:ascii="Times New Roman" w:eastAsia="PT Astra Serif" w:hAnsi="Times New Roman"/>
          <w:color w:val="000000"/>
          <w:sz w:val="28"/>
          <w:szCs w:val="28"/>
        </w:rPr>
      </w:pPr>
      <w:r w:rsidRPr="00485C77">
        <w:rPr>
          <w:rFonts w:ascii="Times New Roman" w:eastAsia="PT Astra Serif" w:hAnsi="Times New Roman"/>
          <w:color w:val="000000"/>
          <w:sz w:val="28"/>
          <w:szCs w:val="28"/>
        </w:rPr>
        <w:t xml:space="preserve"> Т</w:t>
      </w:r>
      <w:r w:rsidRPr="00485C77">
        <w:rPr>
          <w:rFonts w:ascii="Times New Roman" w:hAnsi="Times New Roman"/>
          <w:sz w:val="28"/>
          <w:szCs w:val="28"/>
        </w:rPr>
        <w:t xml:space="preserve">ерриториальную схему обращения с отходами производства привести в соответствие с постановлением Правительства Российской Федерации от 06.06.2024 № 775 «О территориальных схемах обращения с отходами производства и потребления» в срок до 31.12.2025. </w:t>
      </w:r>
    </w:p>
    <w:p w:rsidR="008A680A" w:rsidRPr="00485C77" w:rsidRDefault="008A680A" w:rsidP="008A680A">
      <w:pPr>
        <w:pStyle w:val="ab"/>
        <w:numPr>
          <w:ilvl w:val="3"/>
          <w:numId w:val="4"/>
        </w:numPr>
        <w:spacing w:line="276" w:lineRule="auto"/>
        <w:ind w:left="0" w:firstLine="0"/>
        <w:jc w:val="both"/>
        <w:rPr>
          <w:rFonts w:ascii="Times New Roman" w:eastAsia="PT Astra Serif" w:hAnsi="Times New Roman"/>
          <w:color w:val="000000"/>
          <w:sz w:val="28"/>
          <w:szCs w:val="28"/>
        </w:rPr>
      </w:pPr>
      <w:r w:rsidRPr="00485C77">
        <w:rPr>
          <w:rFonts w:ascii="Times New Roman" w:eastAsia="PT Astra Serif" w:hAnsi="Times New Roman"/>
          <w:color w:val="000000"/>
          <w:sz w:val="28"/>
          <w:szCs w:val="28"/>
        </w:rPr>
        <w:t>Провести работу по исключению необоснованных расходов региональных операторов по обращению с ТКО при установлении тарифов по ТКО на 2026 год в срок до 01.11.2025.</w:t>
      </w:r>
    </w:p>
    <w:p w:rsidR="008A680A" w:rsidRPr="00485C77" w:rsidRDefault="008A680A" w:rsidP="008A680A">
      <w:pPr>
        <w:pStyle w:val="ab"/>
        <w:numPr>
          <w:ilvl w:val="3"/>
          <w:numId w:val="4"/>
        </w:numPr>
        <w:spacing w:line="276" w:lineRule="auto"/>
        <w:ind w:left="0" w:firstLine="0"/>
        <w:jc w:val="both"/>
        <w:rPr>
          <w:rFonts w:ascii="Times New Roman" w:eastAsia="PT Astra Serif" w:hAnsi="Times New Roman"/>
          <w:color w:val="000000"/>
          <w:sz w:val="28"/>
          <w:szCs w:val="28"/>
        </w:rPr>
      </w:pPr>
      <w:proofErr w:type="gramStart"/>
      <w:r w:rsidRPr="00485C77">
        <w:rPr>
          <w:rFonts w:ascii="Times New Roman" w:eastAsia="PT Astra Serif" w:hAnsi="Times New Roman"/>
          <w:color w:val="000000"/>
          <w:sz w:val="28"/>
          <w:szCs w:val="28"/>
        </w:rPr>
        <w:t>Провести инвентаризацию полигонов ТКО на предмет обязательного использования ими весового контролем с целью приведения норматива накопления ТКО на 1 чел. в соответствии с фактическим документально подтвержденным вывозом ТКО региональными операторами, учитывая опыт регионов в срок до 01.11.2025 (в случаях неиспользования (отсутствия) весового контроля снижать выручку операторов при установлении тарифов на вывоз ТКО на 2026 год).</w:t>
      </w:r>
      <w:proofErr w:type="gramEnd"/>
    </w:p>
    <w:p w:rsidR="008A680A" w:rsidRPr="00485C77" w:rsidRDefault="008A680A" w:rsidP="008A680A">
      <w:pPr>
        <w:pStyle w:val="ab"/>
        <w:numPr>
          <w:ilvl w:val="3"/>
          <w:numId w:val="4"/>
        </w:numPr>
        <w:spacing w:line="276" w:lineRule="auto"/>
        <w:ind w:left="0" w:firstLine="0"/>
        <w:jc w:val="both"/>
        <w:rPr>
          <w:rFonts w:ascii="Times New Roman" w:eastAsia="PT Astra Serif" w:hAnsi="Times New Roman"/>
          <w:color w:val="000000"/>
          <w:sz w:val="28"/>
          <w:szCs w:val="28"/>
        </w:rPr>
      </w:pPr>
      <w:r w:rsidRPr="00485C77">
        <w:rPr>
          <w:rFonts w:ascii="Times New Roman" w:eastAsia="PT Astra Serif" w:hAnsi="Times New Roman"/>
          <w:color w:val="000000"/>
          <w:sz w:val="28"/>
          <w:szCs w:val="28"/>
        </w:rPr>
        <w:t>В срок до 01.09.2025 провести работу с муниципальными образованиями Томской области и представить отчеты о проделанной работе в части:</w:t>
      </w:r>
    </w:p>
    <w:p w:rsidR="008A680A" w:rsidRPr="00485C77" w:rsidRDefault="008A680A" w:rsidP="008A680A">
      <w:pPr>
        <w:pStyle w:val="ab"/>
        <w:spacing w:line="276" w:lineRule="auto"/>
        <w:jc w:val="both"/>
        <w:rPr>
          <w:rFonts w:ascii="Times New Roman" w:eastAsia="PT Astra Serif" w:hAnsi="Times New Roman"/>
          <w:color w:val="000000"/>
          <w:sz w:val="28"/>
          <w:szCs w:val="28"/>
        </w:rPr>
      </w:pPr>
      <w:r w:rsidRPr="00485C77">
        <w:rPr>
          <w:rFonts w:ascii="Times New Roman" w:eastAsia="PT Astra Serif" w:hAnsi="Times New Roman"/>
          <w:color w:val="000000"/>
          <w:sz w:val="28"/>
          <w:szCs w:val="28"/>
        </w:rPr>
        <w:t xml:space="preserve"> - проведения инвентаризации сведений, находящихся  в реестре несанкционированных свалок Томской области, по результатам обеспечить их документальное подтверждение и достоверность;</w:t>
      </w:r>
    </w:p>
    <w:p w:rsidR="008A680A" w:rsidRPr="00485C77" w:rsidRDefault="008A680A" w:rsidP="008A680A">
      <w:pPr>
        <w:pStyle w:val="ab"/>
        <w:spacing w:line="276" w:lineRule="auto"/>
        <w:jc w:val="both"/>
        <w:rPr>
          <w:rFonts w:ascii="Times New Roman" w:eastAsia="PT Astra Serif" w:hAnsi="Times New Roman"/>
          <w:color w:val="000000"/>
          <w:sz w:val="28"/>
          <w:szCs w:val="28"/>
        </w:rPr>
      </w:pPr>
      <w:r w:rsidRPr="00485C77">
        <w:rPr>
          <w:rFonts w:ascii="Times New Roman" w:eastAsia="PT Astra Serif" w:hAnsi="Times New Roman"/>
          <w:color w:val="000000"/>
          <w:sz w:val="28"/>
          <w:szCs w:val="28"/>
        </w:rPr>
        <w:t>- принятых мер по ликвидации несанкционированных свалок за счет внебюджетных источников;</w:t>
      </w:r>
    </w:p>
    <w:p w:rsidR="008A680A" w:rsidRPr="00485C77" w:rsidRDefault="008A680A" w:rsidP="008A680A">
      <w:pPr>
        <w:pStyle w:val="ab"/>
        <w:spacing w:line="276" w:lineRule="auto"/>
        <w:jc w:val="both"/>
        <w:rPr>
          <w:rFonts w:ascii="Times New Roman" w:eastAsia="PT Astra Serif" w:hAnsi="Times New Roman"/>
          <w:color w:val="000000"/>
          <w:sz w:val="28"/>
          <w:szCs w:val="28"/>
        </w:rPr>
      </w:pPr>
      <w:r w:rsidRPr="00485C77">
        <w:rPr>
          <w:rFonts w:ascii="Times New Roman" w:eastAsia="PT Astra Serif" w:hAnsi="Times New Roman"/>
          <w:color w:val="000000"/>
          <w:sz w:val="28"/>
          <w:szCs w:val="28"/>
        </w:rPr>
        <w:t>- принятых мер по восстановлению причиненного ущерба бюджетным средствам Томской области, предоставленных из областного бюджета на ликвидацию несанкционированных свалок;</w:t>
      </w:r>
    </w:p>
    <w:p w:rsidR="008A680A" w:rsidRPr="00485C77" w:rsidRDefault="008A680A" w:rsidP="008A680A">
      <w:pPr>
        <w:pStyle w:val="ab"/>
        <w:spacing w:line="276" w:lineRule="auto"/>
        <w:jc w:val="both"/>
        <w:rPr>
          <w:rFonts w:ascii="Times New Roman" w:eastAsia="PT Astra Serif" w:hAnsi="Times New Roman"/>
          <w:color w:val="000000"/>
          <w:sz w:val="28"/>
          <w:szCs w:val="28"/>
        </w:rPr>
      </w:pPr>
      <w:r w:rsidRPr="00485C77">
        <w:rPr>
          <w:rFonts w:ascii="Times New Roman" w:eastAsia="PT Astra Serif" w:hAnsi="Times New Roman"/>
          <w:color w:val="000000"/>
          <w:sz w:val="28"/>
          <w:szCs w:val="28"/>
        </w:rPr>
        <w:t xml:space="preserve">- привлечения к ответственности должностных лиц, отвечающих за планирование, исполнение и принятие работ по ликвидации несанкционированных </w:t>
      </w:r>
      <w:proofErr w:type="gramStart"/>
      <w:r w:rsidRPr="00485C77">
        <w:rPr>
          <w:rFonts w:ascii="Times New Roman" w:eastAsia="PT Astra Serif" w:hAnsi="Times New Roman"/>
          <w:color w:val="000000"/>
          <w:sz w:val="28"/>
          <w:szCs w:val="28"/>
        </w:rPr>
        <w:t>свалок</w:t>
      </w:r>
      <w:proofErr w:type="gramEnd"/>
      <w:r w:rsidRPr="00485C77">
        <w:rPr>
          <w:rFonts w:ascii="Times New Roman" w:eastAsia="PT Astra Serif" w:hAnsi="Times New Roman"/>
          <w:color w:val="000000"/>
          <w:sz w:val="28"/>
          <w:szCs w:val="28"/>
        </w:rPr>
        <w:t xml:space="preserve"> в результате которых причинен ущерб бюджетным средствам Томской области.</w:t>
      </w:r>
      <w:r>
        <w:rPr>
          <w:rFonts w:ascii="Times New Roman" w:eastAsia="PT Astra Serif" w:hAnsi="Times New Roman"/>
          <w:color w:val="000000"/>
          <w:sz w:val="28"/>
          <w:szCs w:val="28"/>
        </w:rPr>
        <w:t xml:space="preserve"> </w:t>
      </w:r>
    </w:p>
    <w:p w:rsidR="00FE331E" w:rsidRDefault="00FE331E">
      <w:bookmarkStart w:id="1" w:name="_GoBack"/>
      <w:bookmarkEnd w:id="1"/>
    </w:p>
    <w:sectPr w:rsidR="00FE3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716E"/>
    <w:multiLevelType w:val="hybridMultilevel"/>
    <w:tmpl w:val="AE3A7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40C30"/>
    <w:multiLevelType w:val="hybridMultilevel"/>
    <w:tmpl w:val="98BE2CCE"/>
    <w:lvl w:ilvl="0" w:tplc="1E8C35FC">
      <w:start w:val="1"/>
      <w:numFmt w:val="decimal"/>
      <w:lvlText w:val="%1)"/>
      <w:lvlJc w:val="left"/>
      <w:pPr>
        <w:ind w:left="1418" w:hanging="360"/>
      </w:pPr>
    </w:lvl>
    <w:lvl w:ilvl="1" w:tplc="8F80932E">
      <w:start w:val="1"/>
      <w:numFmt w:val="lowerLetter"/>
      <w:lvlText w:val="%2."/>
      <w:lvlJc w:val="left"/>
      <w:pPr>
        <w:ind w:left="2138" w:hanging="360"/>
      </w:pPr>
    </w:lvl>
    <w:lvl w:ilvl="2" w:tplc="C3F8A53A">
      <w:start w:val="1"/>
      <w:numFmt w:val="lowerRoman"/>
      <w:lvlText w:val="%3."/>
      <w:lvlJc w:val="right"/>
      <w:pPr>
        <w:ind w:left="2858" w:hanging="180"/>
      </w:pPr>
    </w:lvl>
    <w:lvl w:ilvl="3" w:tplc="14569DE2">
      <w:start w:val="1"/>
      <w:numFmt w:val="decimal"/>
      <w:lvlText w:val="%4."/>
      <w:lvlJc w:val="left"/>
      <w:pPr>
        <w:ind w:left="3578" w:hanging="360"/>
      </w:pPr>
    </w:lvl>
    <w:lvl w:ilvl="4" w:tplc="884C4EEA">
      <w:start w:val="1"/>
      <w:numFmt w:val="lowerLetter"/>
      <w:lvlText w:val="%5."/>
      <w:lvlJc w:val="left"/>
      <w:pPr>
        <w:ind w:left="4298" w:hanging="360"/>
      </w:pPr>
    </w:lvl>
    <w:lvl w:ilvl="5" w:tplc="DB0A8C62">
      <w:start w:val="1"/>
      <w:numFmt w:val="lowerRoman"/>
      <w:lvlText w:val="%6."/>
      <w:lvlJc w:val="right"/>
      <w:pPr>
        <w:ind w:left="5018" w:hanging="180"/>
      </w:pPr>
    </w:lvl>
    <w:lvl w:ilvl="6" w:tplc="F46C5F30">
      <w:start w:val="1"/>
      <w:numFmt w:val="decimal"/>
      <w:lvlText w:val="%7."/>
      <w:lvlJc w:val="left"/>
      <w:pPr>
        <w:ind w:left="5738" w:hanging="360"/>
      </w:pPr>
    </w:lvl>
    <w:lvl w:ilvl="7" w:tplc="259C16D8">
      <w:start w:val="1"/>
      <w:numFmt w:val="lowerLetter"/>
      <w:lvlText w:val="%8."/>
      <w:lvlJc w:val="left"/>
      <w:pPr>
        <w:ind w:left="6458" w:hanging="360"/>
      </w:pPr>
    </w:lvl>
    <w:lvl w:ilvl="8" w:tplc="E110A7B4">
      <w:start w:val="1"/>
      <w:numFmt w:val="lowerRoman"/>
      <w:lvlText w:val="%9."/>
      <w:lvlJc w:val="right"/>
      <w:pPr>
        <w:ind w:left="7178" w:hanging="180"/>
      </w:pPr>
    </w:lvl>
  </w:abstractNum>
  <w:abstractNum w:abstractNumId="2">
    <w:nsid w:val="157C6468"/>
    <w:multiLevelType w:val="hybridMultilevel"/>
    <w:tmpl w:val="A4305958"/>
    <w:lvl w:ilvl="0" w:tplc="EBAA6E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4116A"/>
    <w:multiLevelType w:val="hybridMultilevel"/>
    <w:tmpl w:val="99303C76"/>
    <w:lvl w:ilvl="0" w:tplc="0D3CF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A478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C24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D62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30E6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F0F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E0A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844E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84F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53A87"/>
    <w:multiLevelType w:val="hybridMultilevel"/>
    <w:tmpl w:val="0B565762"/>
    <w:lvl w:ilvl="0" w:tplc="979A745C">
      <w:start w:val="8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70C27"/>
    <w:multiLevelType w:val="hybridMultilevel"/>
    <w:tmpl w:val="CA7EE688"/>
    <w:lvl w:ilvl="0" w:tplc="2D183AB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6428A3"/>
    <w:multiLevelType w:val="hybridMultilevel"/>
    <w:tmpl w:val="7AFC777A"/>
    <w:lvl w:ilvl="0" w:tplc="E3DAA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403C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F0F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2CE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1401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CAC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5E4C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D2BC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A8C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4D0129"/>
    <w:multiLevelType w:val="hybridMultilevel"/>
    <w:tmpl w:val="47EA5F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CA225D"/>
    <w:multiLevelType w:val="hybridMultilevel"/>
    <w:tmpl w:val="1BD06C68"/>
    <w:lvl w:ilvl="0" w:tplc="4D3EB27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30E4083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70ACA0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F76EF4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CDA881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B82617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C3EC95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9140A6A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B9A4FB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0A"/>
    <w:rsid w:val="0022416C"/>
    <w:rsid w:val="002625B9"/>
    <w:rsid w:val="008A680A"/>
    <w:rsid w:val="00FE331E"/>
    <w:rsid w:val="00FF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,List Paragraph,cko-Список,Уровент 2.2,Абзац списка4,Нумерованный,Абзац списка ЭкспертЪ,Bullet List,FooterText,numbered,Table-Normal,RSHB_Table-Normal,Paragraphe de liste1,lp1,ПАРАГРАФ,SL_Абзац списка,Нумерованый список,СпБезКС,UL"/>
    <w:basedOn w:val="a"/>
    <w:link w:val="a4"/>
    <w:uiPriority w:val="34"/>
    <w:qFormat/>
    <w:rsid w:val="0022416C"/>
    <w:pPr>
      <w:ind w:left="720"/>
      <w:contextualSpacing/>
    </w:pPr>
  </w:style>
  <w:style w:type="character" w:customStyle="1" w:styleId="a4">
    <w:name w:val="Абзац списка Знак"/>
    <w:aliases w:val="СПИСОК Знак,List Paragraph Знак,cko-Список Знак,Уровент 2.2 Знак,Абзац списка4 Знак,Нумерованный Знак,Абзац списка ЭкспертЪ Знак,Bullet List Знак,FooterText Знак,numbered Знак,Table-Normal Знак,RSHB_Table-Normal Знак,lp1 Знак,UL Знак"/>
    <w:link w:val="a3"/>
    <w:uiPriority w:val="34"/>
    <w:qFormat/>
    <w:locked/>
    <w:rsid w:val="008A680A"/>
  </w:style>
  <w:style w:type="paragraph" w:styleId="a5">
    <w:name w:val="Body Text"/>
    <w:aliases w:val="Основной текст Знак2 Знак1,Основной текст Знак4 Знак Знак,Основной текст Знак1 Знак Знак1 Знак,Основной текст Знак Знак Знак Знак1 Знак,Основной текст Знак Знак3 Знак Знак,Основной текст Знак2 Знак1 Знак Знак"/>
    <w:basedOn w:val="a"/>
    <w:link w:val="a6"/>
    <w:uiPriority w:val="1"/>
    <w:qFormat/>
    <w:rsid w:val="008A680A"/>
    <w:pPr>
      <w:spacing w:after="120"/>
    </w:pPr>
  </w:style>
  <w:style w:type="character" w:customStyle="1" w:styleId="a6">
    <w:name w:val="Основной текст Знак"/>
    <w:aliases w:val="Основной текст Знак2 Знак1 Знак1,Основной текст Знак4 Знак Знак Знак1,Основной текст Знак1 Знак Знак1 Знак Знак1,Основной текст Знак Знак Знак Знак1 Знак Знак1,Основной текст Знак Знак3 Знак Знак Знак1"/>
    <w:basedOn w:val="a0"/>
    <w:link w:val="a5"/>
    <w:uiPriority w:val="1"/>
    <w:qFormat/>
    <w:rsid w:val="008A68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8A680A"/>
    <w:rPr>
      <w:rFonts w:cs="Times New Roman"/>
      <w:color w:val="410082"/>
      <w:u w:val="single"/>
    </w:rPr>
  </w:style>
  <w:style w:type="paragraph" w:customStyle="1" w:styleId="a8">
    <w:name w:val="уважаемый"/>
    <w:basedOn w:val="a"/>
    <w:qFormat/>
    <w:rsid w:val="008A680A"/>
    <w:pPr>
      <w:overflowPunct w:val="0"/>
      <w:autoSpaceDE w:val="0"/>
      <w:autoSpaceDN w:val="0"/>
      <w:adjustRightInd w:val="0"/>
      <w:ind w:left="284" w:right="-284"/>
      <w:jc w:val="center"/>
      <w:textAlignment w:val="baseline"/>
    </w:pPr>
    <w:rPr>
      <w:sz w:val="28"/>
      <w:szCs w:val="28"/>
    </w:rPr>
  </w:style>
  <w:style w:type="paragraph" w:styleId="a9">
    <w:name w:val="Normal (Web)"/>
    <w:aliases w:val="Обычный (веб) Знак Знак Знак Знак,Обычный (веб) Знак Знак Знак,Обычный (веб) Знак Знак,Обычный (Web),Обычный (веб)1,Знак Знак1 Знак,Знак Знак Знак1 Знак Знак1,Знак Знак4"/>
    <w:basedOn w:val="a"/>
    <w:link w:val="aa"/>
    <w:uiPriority w:val="99"/>
    <w:qFormat/>
    <w:rsid w:val="008A680A"/>
    <w:pPr>
      <w:spacing w:before="100" w:beforeAutospacing="1" w:after="100" w:afterAutospacing="1"/>
    </w:pPr>
  </w:style>
  <w:style w:type="paragraph" w:styleId="ab">
    <w:name w:val="No Spacing"/>
    <w:link w:val="ac"/>
    <w:uiPriority w:val="1"/>
    <w:qFormat/>
    <w:rsid w:val="008A68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locked/>
    <w:rsid w:val="008A680A"/>
    <w:rPr>
      <w:rFonts w:ascii="Calibri" w:eastAsia="Calibri" w:hAnsi="Calibri" w:cs="Times New Roman"/>
    </w:rPr>
  </w:style>
  <w:style w:type="character" w:customStyle="1" w:styleId="aa">
    <w:name w:val="Обычный (веб) Знак"/>
    <w:aliases w:val="Обычный (веб) Знак Знак Знак Знак Знак,Обычный (веб) Знак Знак Знак Знак1,Обычный (веб) Знак Знак Знак1,Обычный (Web) Знак,Обычный (веб)1 Знак,Знак Знак1 Знак Знак,Знак Знак Знак1 Знак Знак1 Знак,Знак Знак4 Знак"/>
    <w:link w:val="a9"/>
    <w:uiPriority w:val="99"/>
    <w:locked/>
    <w:rsid w:val="008A68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0">
    <w:name w:val="ListLabel 10"/>
    <w:qFormat/>
    <w:rsid w:val="008A680A"/>
    <w:rPr>
      <w:rFonts w:eastAsia="Wingdings" w:cs="Wingdings"/>
    </w:rPr>
  </w:style>
  <w:style w:type="paragraph" w:customStyle="1" w:styleId="37">
    <w:name w:val="Стиль37"/>
    <w:basedOn w:val="a"/>
    <w:qFormat/>
    <w:rsid w:val="008A680A"/>
    <w:pPr>
      <w:keepNext/>
      <w:keepLines/>
      <w:spacing w:before="200"/>
      <w:jc w:val="center"/>
      <w:outlineLvl w:val="2"/>
    </w:pPr>
    <w:rPr>
      <w:rFonts w:eastAsiaTheme="majorEastAsia" w:cstheme="majorBidi"/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,List Paragraph,cko-Список,Уровент 2.2,Абзац списка4,Нумерованный,Абзац списка ЭкспертЪ,Bullet List,FooterText,numbered,Table-Normal,RSHB_Table-Normal,Paragraphe de liste1,lp1,ПАРАГРАФ,SL_Абзац списка,Нумерованый список,СпБезКС,UL"/>
    <w:basedOn w:val="a"/>
    <w:link w:val="a4"/>
    <w:uiPriority w:val="34"/>
    <w:qFormat/>
    <w:rsid w:val="0022416C"/>
    <w:pPr>
      <w:ind w:left="720"/>
      <w:contextualSpacing/>
    </w:pPr>
  </w:style>
  <w:style w:type="character" w:customStyle="1" w:styleId="a4">
    <w:name w:val="Абзац списка Знак"/>
    <w:aliases w:val="СПИСОК Знак,List Paragraph Знак,cko-Список Знак,Уровент 2.2 Знак,Абзац списка4 Знак,Нумерованный Знак,Абзац списка ЭкспертЪ Знак,Bullet List Знак,FooterText Знак,numbered Знак,Table-Normal Знак,RSHB_Table-Normal Знак,lp1 Знак,UL Знак"/>
    <w:link w:val="a3"/>
    <w:uiPriority w:val="34"/>
    <w:qFormat/>
    <w:locked/>
    <w:rsid w:val="008A680A"/>
  </w:style>
  <w:style w:type="paragraph" w:styleId="a5">
    <w:name w:val="Body Text"/>
    <w:aliases w:val="Основной текст Знак2 Знак1,Основной текст Знак4 Знак Знак,Основной текст Знак1 Знак Знак1 Знак,Основной текст Знак Знак Знак Знак1 Знак,Основной текст Знак Знак3 Знак Знак,Основной текст Знак2 Знак1 Знак Знак"/>
    <w:basedOn w:val="a"/>
    <w:link w:val="a6"/>
    <w:uiPriority w:val="1"/>
    <w:qFormat/>
    <w:rsid w:val="008A680A"/>
    <w:pPr>
      <w:spacing w:after="120"/>
    </w:pPr>
  </w:style>
  <w:style w:type="character" w:customStyle="1" w:styleId="a6">
    <w:name w:val="Основной текст Знак"/>
    <w:aliases w:val="Основной текст Знак2 Знак1 Знак1,Основной текст Знак4 Знак Знак Знак1,Основной текст Знак1 Знак Знак1 Знак Знак1,Основной текст Знак Знак Знак Знак1 Знак Знак1,Основной текст Знак Знак3 Знак Знак Знак1"/>
    <w:basedOn w:val="a0"/>
    <w:link w:val="a5"/>
    <w:uiPriority w:val="1"/>
    <w:qFormat/>
    <w:rsid w:val="008A68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8A680A"/>
    <w:rPr>
      <w:rFonts w:cs="Times New Roman"/>
      <w:color w:val="410082"/>
      <w:u w:val="single"/>
    </w:rPr>
  </w:style>
  <w:style w:type="paragraph" w:customStyle="1" w:styleId="a8">
    <w:name w:val="уважаемый"/>
    <w:basedOn w:val="a"/>
    <w:qFormat/>
    <w:rsid w:val="008A680A"/>
    <w:pPr>
      <w:overflowPunct w:val="0"/>
      <w:autoSpaceDE w:val="0"/>
      <w:autoSpaceDN w:val="0"/>
      <w:adjustRightInd w:val="0"/>
      <w:ind w:left="284" w:right="-284"/>
      <w:jc w:val="center"/>
      <w:textAlignment w:val="baseline"/>
    </w:pPr>
    <w:rPr>
      <w:sz w:val="28"/>
      <w:szCs w:val="28"/>
    </w:rPr>
  </w:style>
  <w:style w:type="paragraph" w:styleId="a9">
    <w:name w:val="Normal (Web)"/>
    <w:aliases w:val="Обычный (веб) Знак Знак Знак Знак,Обычный (веб) Знак Знак Знак,Обычный (веб) Знак Знак,Обычный (Web),Обычный (веб)1,Знак Знак1 Знак,Знак Знак Знак1 Знак Знак1,Знак Знак4"/>
    <w:basedOn w:val="a"/>
    <w:link w:val="aa"/>
    <w:uiPriority w:val="99"/>
    <w:qFormat/>
    <w:rsid w:val="008A680A"/>
    <w:pPr>
      <w:spacing w:before="100" w:beforeAutospacing="1" w:after="100" w:afterAutospacing="1"/>
    </w:pPr>
  </w:style>
  <w:style w:type="paragraph" w:styleId="ab">
    <w:name w:val="No Spacing"/>
    <w:link w:val="ac"/>
    <w:uiPriority w:val="1"/>
    <w:qFormat/>
    <w:rsid w:val="008A68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locked/>
    <w:rsid w:val="008A680A"/>
    <w:rPr>
      <w:rFonts w:ascii="Calibri" w:eastAsia="Calibri" w:hAnsi="Calibri" w:cs="Times New Roman"/>
    </w:rPr>
  </w:style>
  <w:style w:type="character" w:customStyle="1" w:styleId="aa">
    <w:name w:val="Обычный (веб) Знак"/>
    <w:aliases w:val="Обычный (веб) Знак Знак Знак Знак Знак,Обычный (веб) Знак Знак Знак Знак1,Обычный (веб) Знак Знак Знак1,Обычный (Web) Знак,Обычный (веб)1 Знак,Знак Знак1 Знак Знак,Знак Знак Знак1 Знак Знак1 Знак,Знак Знак4 Знак"/>
    <w:link w:val="a9"/>
    <w:uiPriority w:val="99"/>
    <w:locked/>
    <w:rsid w:val="008A68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0">
    <w:name w:val="ListLabel 10"/>
    <w:qFormat/>
    <w:rsid w:val="008A680A"/>
    <w:rPr>
      <w:rFonts w:eastAsia="Wingdings" w:cs="Wingdings"/>
    </w:rPr>
  </w:style>
  <w:style w:type="paragraph" w:customStyle="1" w:styleId="37">
    <w:name w:val="Стиль37"/>
    <w:basedOn w:val="a"/>
    <w:qFormat/>
    <w:rsid w:val="008A680A"/>
    <w:pPr>
      <w:keepNext/>
      <w:keepLines/>
      <w:spacing w:before="200"/>
      <w:jc w:val="center"/>
      <w:outlineLvl w:val="2"/>
    </w:pPr>
    <w:rPr>
      <w:rFonts w:eastAsiaTheme="majorEastAsia" w:cstheme="majorBidi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msk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2594</Words>
  <Characters>14792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</dc:creator>
  <cp:lastModifiedBy>Романова</cp:lastModifiedBy>
  <cp:revision>1</cp:revision>
  <dcterms:created xsi:type="dcterms:W3CDTF">2025-10-15T03:54:00Z</dcterms:created>
  <dcterms:modified xsi:type="dcterms:W3CDTF">2025-10-15T03:55:00Z</dcterms:modified>
</cp:coreProperties>
</file>