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Default="00075D94" w:rsidP="009D76C5">
      <w:pPr>
        <w:spacing w:after="0" w:line="240" w:lineRule="auto"/>
        <w:jc w:val="both"/>
        <w:rPr>
          <w:rFonts w:ascii="Times New Roman" w:hAnsi="Times New Roman" w:cs="Times New Roman"/>
          <w:sz w:val="24"/>
          <w:szCs w:val="24"/>
        </w:rPr>
      </w:pPr>
    </w:p>
    <w:p w:rsidR="009D76C5" w:rsidRDefault="009D76C5" w:rsidP="009D76C5">
      <w:pPr>
        <w:spacing w:after="0" w:line="240" w:lineRule="auto"/>
        <w:jc w:val="both"/>
        <w:rPr>
          <w:rFonts w:ascii="Times New Roman" w:hAnsi="Times New Roman" w:cs="Times New Roman"/>
          <w:sz w:val="24"/>
          <w:szCs w:val="24"/>
        </w:rPr>
      </w:pPr>
    </w:p>
    <w:p w:rsidR="009D76C5" w:rsidRDefault="009D76C5" w:rsidP="009D76C5">
      <w:pPr>
        <w:spacing w:after="0" w:line="240" w:lineRule="auto"/>
        <w:jc w:val="both"/>
        <w:rPr>
          <w:rFonts w:ascii="Times New Roman" w:hAnsi="Times New Roman" w:cs="Times New Roman"/>
          <w:sz w:val="24"/>
          <w:szCs w:val="24"/>
        </w:rPr>
      </w:pPr>
    </w:p>
    <w:p w:rsidR="009D76C5" w:rsidRDefault="009D76C5" w:rsidP="009D76C5">
      <w:pPr>
        <w:spacing w:after="0" w:line="240" w:lineRule="auto"/>
        <w:jc w:val="both"/>
        <w:rPr>
          <w:rFonts w:ascii="Times New Roman" w:hAnsi="Times New Roman" w:cs="Times New Roman"/>
          <w:sz w:val="24"/>
          <w:szCs w:val="24"/>
        </w:rPr>
      </w:pPr>
    </w:p>
    <w:p w:rsidR="009D76C5" w:rsidRPr="003653DF" w:rsidRDefault="009D76C5"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center"/>
        <w:rPr>
          <w:rFonts w:ascii="Times New Roman" w:hAnsi="Times New Roman" w:cs="Times New Roman"/>
          <w:b/>
          <w:sz w:val="32"/>
          <w:szCs w:val="24"/>
        </w:rPr>
      </w:pPr>
      <w:r w:rsidRPr="003653DF">
        <w:rPr>
          <w:rFonts w:ascii="Times New Roman" w:hAnsi="Times New Roman" w:cs="Times New Roman"/>
          <w:b/>
          <w:sz w:val="32"/>
          <w:szCs w:val="24"/>
        </w:rPr>
        <w:t>ОТЧ</w:t>
      </w:r>
      <w:r w:rsidR="00FA2DA4">
        <w:rPr>
          <w:rFonts w:ascii="Times New Roman" w:hAnsi="Times New Roman" w:cs="Times New Roman"/>
          <w:b/>
          <w:sz w:val="32"/>
          <w:szCs w:val="24"/>
        </w:rPr>
        <w:t>Е</w:t>
      </w:r>
      <w:r w:rsidRPr="003653DF">
        <w:rPr>
          <w:rFonts w:ascii="Times New Roman" w:hAnsi="Times New Roman" w:cs="Times New Roman"/>
          <w:b/>
          <w:sz w:val="32"/>
          <w:szCs w:val="24"/>
        </w:rPr>
        <w:t>Т</w:t>
      </w:r>
    </w:p>
    <w:p w:rsidR="00075D94" w:rsidRPr="003653DF" w:rsidRDefault="00075D94" w:rsidP="009D76C5">
      <w:pPr>
        <w:spacing w:after="0" w:line="240" w:lineRule="auto"/>
        <w:jc w:val="center"/>
        <w:rPr>
          <w:rFonts w:ascii="Times New Roman" w:hAnsi="Times New Roman" w:cs="Times New Roman"/>
          <w:b/>
          <w:sz w:val="32"/>
          <w:szCs w:val="24"/>
        </w:rPr>
      </w:pPr>
      <w:r w:rsidRPr="003653DF">
        <w:rPr>
          <w:rFonts w:ascii="Times New Roman" w:hAnsi="Times New Roman" w:cs="Times New Roman"/>
          <w:b/>
          <w:sz w:val="32"/>
          <w:szCs w:val="24"/>
        </w:rPr>
        <w:t>О ДЕЯТЕЛЬНОСТИ КОНТРОЛЬНО-СЧЕТНОЙ П</w:t>
      </w:r>
      <w:r w:rsidR="009D76C5">
        <w:rPr>
          <w:rFonts w:ascii="Times New Roman" w:hAnsi="Times New Roman" w:cs="Times New Roman"/>
          <w:b/>
          <w:sz w:val="32"/>
          <w:szCs w:val="24"/>
        </w:rPr>
        <w:t>А</w:t>
      </w:r>
      <w:r w:rsidRPr="003653DF">
        <w:rPr>
          <w:rFonts w:ascii="Times New Roman" w:hAnsi="Times New Roman" w:cs="Times New Roman"/>
          <w:b/>
          <w:sz w:val="32"/>
          <w:szCs w:val="24"/>
        </w:rPr>
        <w:t>ЛАТЫ ТОМСКОЙ ОБЛАСТИ В 2023 ГОДУ</w:t>
      </w: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both"/>
        <w:rPr>
          <w:rFonts w:ascii="Times New Roman" w:hAnsi="Times New Roman" w:cs="Times New Roman"/>
          <w:sz w:val="24"/>
          <w:szCs w:val="24"/>
        </w:rPr>
      </w:pPr>
    </w:p>
    <w:p w:rsidR="00075D94" w:rsidRPr="003653DF" w:rsidRDefault="00075D94" w:rsidP="009D76C5">
      <w:pPr>
        <w:spacing w:after="0" w:line="240" w:lineRule="auto"/>
        <w:jc w:val="center"/>
        <w:rPr>
          <w:rFonts w:ascii="Times New Roman" w:hAnsi="Times New Roman" w:cs="Times New Roman"/>
          <w:sz w:val="24"/>
          <w:szCs w:val="24"/>
        </w:rPr>
      </w:pPr>
      <w:r w:rsidRPr="003653DF">
        <w:rPr>
          <w:rFonts w:ascii="Times New Roman" w:hAnsi="Times New Roman" w:cs="Times New Roman"/>
          <w:sz w:val="24"/>
          <w:szCs w:val="24"/>
        </w:rPr>
        <w:t>2024 год</w:t>
      </w:r>
    </w:p>
    <w:p w:rsidR="00280281" w:rsidRPr="003653DF" w:rsidRDefault="00280281" w:rsidP="009D76C5">
      <w:pPr>
        <w:spacing w:after="0" w:line="240" w:lineRule="auto"/>
        <w:jc w:val="both"/>
        <w:rPr>
          <w:rFonts w:ascii="Times New Roman" w:hAnsi="Times New Roman" w:cs="Times New Roman"/>
          <w:sz w:val="24"/>
          <w:szCs w:val="24"/>
        </w:rPr>
      </w:pPr>
      <w:r w:rsidRPr="003653DF">
        <w:rPr>
          <w:rFonts w:ascii="Times New Roman" w:hAnsi="Times New Roman" w:cs="Times New Roman"/>
          <w:sz w:val="24"/>
          <w:szCs w:val="24"/>
        </w:rPr>
        <w:lastRenderedPageBreak/>
        <w:t>Настоящий отчет подготовлен в целях реализации статьи 8 Закона Томской области от 09.08.2011 №177-ОЗ «О Контрольно-счетной палате Томской области» и статьи 19 Федерального закона от 07.02.2011 №6-ФЗ «</w:t>
      </w:r>
      <w:r w:rsidR="003B372C">
        <w:rPr>
          <w:rFonts w:ascii="Times New Roman" w:hAnsi="Times New Roman" w:cs="Times New Roman"/>
          <w:sz w:val="24"/>
          <w:szCs w:val="24"/>
        </w:rPr>
        <w:t>О</w:t>
      </w:r>
      <w:r w:rsidRPr="003653DF">
        <w:rPr>
          <w:rFonts w:ascii="Times New Roman" w:hAnsi="Times New Roman" w:cs="Times New Roman"/>
          <w:sz w:val="24"/>
          <w:szCs w:val="24"/>
        </w:rPr>
        <w:t>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 включает в себя общие сведения о деятельности Контрольно-счетной палаты Томской области (далее – Контрольно-счетная палата, КСП Томской области) в 2023 году, о результатах проведенных экспертно-аналитических и контрольных мероприятий. </w:t>
      </w:r>
    </w:p>
    <w:p w:rsidR="000D653B" w:rsidRPr="003653DF" w:rsidRDefault="000D653B" w:rsidP="009D76C5">
      <w:pPr>
        <w:spacing w:after="0" w:line="240" w:lineRule="auto"/>
        <w:jc w:val="both"/>
        <w:rPr>
          <w:rFonts w:ascii="Times New Roman" w:hAnsi="Times New Roman" w:cs="Times New Roman"/>
          <w:b/>
          <w:bCs/>
          <w:sz w:val="24"/>
          <w:szCs w:val="24"/>
        </w:rPr>
      </w:pPr>
    </w:p>
    <w:p w:rsidR="00280281" w:rsidRPr="003653DF" w:rsidRDefault="00280281" w:rsidP="009D76C5">
      <w:pPr>
        <w:spacing w:after="0" w:line="240" w:lineRule="auto"/>
        <w:jc w:val="both"/>
        <w:rPr>
          <w:rFonts w:ascii="Times New Roman" w:hAnsi="Times New Roman" w:cs="Times New Roman"/>
          <w:sz w:val="24"/>
          <w:szCs w:val="24"/>
        </w:rPr>
      </w:pPr>
      <w:r w:rsidRPr="003653DF">
        <w:rPr>
          <w:rFonts w:ascii="Times New Roman" w:hAnsi="Times New Roman" w:cs="Times New Roman"/>
          <w:b/>
          <w:bCs/>
          <w:sz w:val="24"/>
          <w:szCs w:val="24"/>
        </w:rPr>
        <w:t>Основы планирования работы</w:t>
      </w:r>
    </w:p>
    <w:p w:rsidR="00280281" w:rsidRPr="003653DF" w:rsidRDefault="00280281" w:rsidP="009D76C5">
      <w:pPr>
        <w:spacing w:after="0" w:line="240" w:lineRule="auto"/>
        <w:ind w:firstLine="567"/>
        <w:jc w:val="both"/>
        <w:rPr>
          <w:rFonts w:ascii="Times New Roman" w:hAnsi="Times New Roman" w:cs="Times New Roman"/>
          <w:sz w:val="24"/>
          <w:szCs w:val="24"/>
        </w:rPr>
      </w:pPr>
      <w:r w:rsidRPr="003653DF">
        <w:rPr>
          <w:rFonts w:ascii="Times New Roman" w:hAnsi="Times New Roman" w:cs="Times New Roman"/>
          <w:sz w:val="24"/>
          <w:szCs w:val="24"/>
        </w:rPr>
        <w:t>Контрольно-счетная палата Томской области является постоянно действующим органом внешнего государственного финансового контроля, образуемым Законодательной Думой Томской области и ей подотчетным.</w:t>
      </w:r>
    </w:p>
    <w:p w:rsidR="00280281" w:rsidRPr="003653DF" w:rsidRDefault="00280281" w:rsidP="009D76C5">
      <w:pPr>
        <w:spacing w:after="0" w:line="240" w:lineRule="auto"/>
        <w:ind w:firstLine="567"/>
        <w:jc w:val="both"/>
        <w:rPr>
          <w:rFonts w:ascii="Times New Roman" w:hAnsi="Times New Roman" w:cs="Times New Roman"/>
          <w:sz w:val="24"/>
          <w:szCs w:val="24"/>
        </w:rPr>
      </w:pPr>
      <w:r w:rsidRPr="003653DF">
        <w:rPr>
          <w:rFonts w:ascii="Times New Roman" w:hAnsi="Times New Roman" w:cs="Times New Roman"/>
          <w:sz w:val="24"/>
          <w:szCs w:val="24"/>
        </w:rPr>
        <w:t>В 2022 году Контрольно-счетная палата осуществляла свою деятельность в соответствии с Конституцией РФ, федеральным и областным законодательством на основании плана работы на 2023 год. План утвержден приказом председателя Контрольно-счетной палаты и содержит мероприятия, направленные на обеспечение контроля за формированием и исполнением областного бюджета и бюджета Территориального фонда обязательного медицинского страхования Томской области, а также за эффективностью управления областным государственным имуществом.</w:t>
      </w:r>
    </w:p>
    <w:p w:rsidR="00280281" w:rsidRPr="003653DF" w:rsidRDefault="00280281" w:rsidP="009D76C5">
      <w:pPr>
        <w:spacing w:after="0" w:line="240" w:lineRule="auto"/>
        <w:ind w:firstLine="567"/>
        <w:jc w:val="both"/>
        <w:rPr>
          <w:rFonts w:ascii="Times New Roman" w:hAnsi="Times New Roman" w:cs="Times New Roman"/>
          <w:sz w:val="24"/>
          <w:szCs w:val="24"/>
        </w:rPr>
      </w:pPr>
      <w:r w:rsidRPr="003653DF">
        <w:rPr>
          <w:rFonts w:ascii="Times New Roman" w:hAnsi="Times New Roman" w:cs="Times New Roman"/>
          <w:sz w:val="24"/>
          <w:szCs w:val="24"/>
        </w:rPr>
        <w:t>План работы был сформирован исходя из необходимости обеспечения полноты реализации полномочий Контрольно-счетной палаты как органа внешнего государственного финансового контроля субъекта Российской Федерации с учетом поручений, поступивших от Законодательной Думы Томской области.</w:t>
      </w:r>
    </w:p>
    <w:p w:rsidR="00280281" w:rsidRPr="003653DF" w:rsidRDefault="00280281" w:rsidP="009D76C5">
      <w:pPr>
        <w:spacing w:after="0" w:line="240" w:lineRule="auto"/>
        <w:ind w:firstLine="567"/>
        <w:jc w:val="both"/>
        <w:rPr>
          <w:rFonts w:ascii="Times New Roman" w:hAnsi="Times New Roman" w:cs="Times New Roman"/>
          <w:sz w:val="24"/>
          <w:szCs w:val="24"/>
        </w:rPr>
      </w:pPr>
      <w:r w:rsidRPr="003653DF">
        <w:rPr>
          <w:rFonts w:ascii="Times New Roman" w:hAnsi="Times New Roman" w:cs="Times New Roman"/>
          <w:sz w:val="24"/>
          <w:szCs w:val="24"/>
        </w:rPr>
        <w:t>Исполнение плана работы позволило провести контрольные и экспертно-аналитические мероприятия в различных сферах деятельности исполнительных органов и хозяйствующих субъектов, выявить нарушения нормативных правовых актов, нарушения и недостатки при формировании бюджетов (планировании), распоряжении и использовании бюджетных средств и государственного имущества, а также принять необходимые меры для устранения как самих нарушений, так причин и условий, способствовавших их совершению.</w:t>
      </w:r>
    </w:p>
    <w:p w:rsidR="00280281" w:rsidRPr="003653DF" w:rsidRDefault="00280281" w:rsidP="009D76C5">
      <w:pPr>
        <w:spacing w:after="0" w:line="240" w:lineRule="auto"/>
        <w:ind w:firstLine="567"/>
        <w:jc w:val="both"/>
        <w:rPr>
          <w:rFonts w:ascii="Times New Roman" w:hAnsi="Times New Roman" w:cs="Times New Roman"/>
          <w:sz w:val="24"/>
          <w:szCs w:val="24"/>
        </w:rPr>
      </w:pPr>
      <w:r w:rsidRPr="003653DF">
        <w:rPr>
          <w:rFonts w:ascii="Times New Roman" w:hAnsi="Times New Roman" w:cs="Times New Roman"/>
          <w:sz w:val="24"/>
          <w:szCs w:val="24"/>
        </w:rPr>
        <w:t>Организация работы палаты в 2023 году традиционно строилась на укреплении и развитии основополагающих принципов функционирования органа внешнего государственного финансового контроля: законности, объективности, эффективности, независимости, открытости и гласности. В рамках каждого контрольного и экспертно-аналитического мероприятия анализировалось соблюдение требований законодательства в сфере бюджетных правоотношений, а изучение нормативных актов в практике их применения позволяло выявлять в них пробелы и несогласованность, оценивать полноту регламентации деятельности исполнительных органов государственной власти, органов местного самоуправления, учреждений и организаций различных организационно-правовых форм.</w:t>
      </w:r>
    </w:p>
    <w:p w:rsidR="0067452E" w:rsidRPr="003653DF" w:rsidRDefault="0067452E" w:rsidP="009D76C5">
      <w:pPr>
        <w:spacing w:after="0" w:line="240" w:lineRule="auto"/>
        <w:jc w:val="both"/>
        <w:rPr>
          <w:rFonts w:ascii="Times New Roman" w:hAnsi="Times New Roman" w:cs="Times New Roman"/>
          <w:sz w:val="24"/>
          <w:szCs w:val="24"/>
        </w:rPr>
      </w:pPr>
    </w:p>
    <w:p w:rsidR="0067452E" w:rsidRPr="003653DF" w:rsidRDefault="0067452E" w:rsidP="009D76C5">
      <w:pPr>
        <w:spacing w:after="0" w:line="240" w:lineRule="auto"/>
        <w:rPr>
          <w:rFonts w:ascii="Times New Roman" w:hAnsi="Times New Roman"/>
          <w:b/>
          <w:sz w:val="24"/>
          <w:szCs w:val="24"/>
        </w:rPr>
      </w:pPr>
      <w:r w:rsidRPr="003653DF">
        <w:rPr>
          <w:rFonts w:ascii="Times New Roman" w:hAnsi="Times New Roman"/>
          <w:b/>
          <w:sz w:val="24"/>
          <w:szCs w:val="24"/>
        </w:rPr>
        <w:t>Основные итоги работы Контрольно-счетной палаты Томской области в 2023 году</w:t>
      </w:r>
    </w:p>
    <w:p w:rsidR="0067452E" w:rsidRPr="003653DF" w:rsidRDefault="0067452E"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Основные итоги работы Контрольно-счетной палаты по осуществлению внешнего государственного финансового контроля в 2023 году характеризуются следующими показателями.</w:t>
      </w:r>
    </w:p>
    <w:p w:rsidR="0067452E" w:rsidRPr="003653DF" w:rsidRDefault="0067452E" w:rsidP="009D76C5">
      <w:pPr>
        <w:spacing w:after="0" w:line="240" w:lineRule="auto"/>
        <w:ind w:firstLine="567"/>
        <w:jc w:val="both"/>
        <w:rPr>
          <w:rFonts w:ascii="Times New Roman" w:hAnsi="Times New Roman"/>
          <w:sz w:val="24"/>
          <w:szCs w:val="24"/>
        </w:rPr>
      </w:pPr>
      <w:r w:rsidRPr="003653DF">
        <w:rPr>
          <w:rFonts w:ascii="Times New Roman" w:hAnsi="Times New Roman"/>
          <w:spacing w:val="-2"/>
          <w:sz w:val="24"/>
          <w:szCs w:val="24"/>
        </w:rPr>
        <w:t xml:space="preserve">В соответствии с планом работы отчетного периода </w:t>
      </w:r>
      <w:r w:rsidRPr="003653DF">
        <w:rPr>
          <w:rFonts w:ascii="Times New Roman" w:hAnsi="Times New Roman"/>
          <w:sz w:val="24"/>
          <w:szCs w:val="24"/>
        </w:rPr>
        <w:t xml:space="preserve">Контрольно-счетной палатой </w:t>
      </w:r>
      <w:r w:rsidRPr="003653DF">
        <w:rPr>
          <w:rFonts w:ascii="Times New Roman" w:hAnsi="Times New Roman"/>
          <w:spacing w:val="-2"/>
          <w:sz w:val="24"/>
          <w:szCs w:val="24"/>
        </w:rPr>
        <w:t xml:space="preserve">проведено </w:t>
      </w:r>
      <w:r w:rsidRPr="003653DF">
        <w:rPr>
          <w:rFonts w:ascii="Times New Roman" w:hAnsi="Times New Roman"/>
          <w:b/>
          <w:spacing w:val="-2"/>
          <w:sz w:val="24"/>
          <w:szCs w:val="24"/>
        </w:rPr>
        <w:t xml:space="preserve">34 </w:t>
      </w:r>
      <w:r w:rsidRPr="003653DF">
        <w:rPr>
          <w:rFonts w:ascii="Times New Roman" w:hAnsi="Times New Roman"/>
          <w:spacing w:val="-2"/>
          <w:sz w:val="24"/>
          <w:szCs w:val="24"/>
        </w:rPr>
        <w:t xml:space="preserve">мероприятия, в том числе </w:t>
      </w:r>
      <w:r w:rsidRPr="003653DF">
        <w:rPr>
          <w:rFonts w:ascii="Times New Roman" w:hAnsi="Times New Roman"/>
          <w:b/>
          <w:spacing w:val="-2"/>
          <w:sz w:val="24"/>
          <w:szCs w:val="24"/>
        </w:rPr>
        <w:t>16</w:t>
      </w:r>
      <w:r w:rsidRPr="003653DF">
        <w:rPr>
          <w:rFonts w:ascii="Times New Roman" w:hAnsi="Times New Roman"/>
          <w:spacing w:val="-2"/>
          <w:sz w:val="24"/>
          <w:szCs w:val="24"/>
        </w:rPr>
        <w:t xml:space="preserve"> контрольных и </w:t>
      </w:r>
      <w:r w:rsidRPr="003653DF">
        <w:rPr>
          <w:rFonts w:ascii="Times New Roman" w:hAnsi="Times New Roman"/>
          <w:b/>
          <w:spacing w:val="-2"/>
          <w:sz w:val="24"/>
          <w:szCs w:val="24"/>
        </w:rPr>
        <w:t>18</w:t>
      </w:r>
      <w:r w:rsidRPr="003653DF">
        <w:rPr>
          <w:rFonts w:ascii="Times New Roman" w:hAnsi="Times New Roman"/>
          <w:spacing w:val="-2"/>
          <w:sz w:val="24"/>
          <w:szCs w:val="24"/>
        </w:rPr>
        <w:t xml:space="preserve"> экспертно-аналитических мероприятий</w:t>
      </w:r>
      <w:r w:rsidRPr="003653DF">
        <w:rPr>
          <w:rFonts w:ascii="Times New Roman" w:hAnsi="Times New Roman"/>
          <w:sz w:val="24"/>
          <w:szCs w:val="24"/>
        </w:rPr>
        <w:t xml:space="preserve">, подготовлено </w:t>
      </w:r>
      <w:r w:rsidRPr="003653DF">
        <w:rPr>
          <w:rFonts w:ascii="Times New Roman" w:hAnsi="Times New Roman"/>
          <w:b/>
          <w:sz w:val="24"/>
          <w:szCs w:val="24"/>
        </w:rPr>
        <w:t>28</w:t>
      </w:r>
      <w:r w:rsidRPr="003653DF">
        <w:rPr>
          <w:rFonts w:ascii="Times New Roman" w:hAnsi="Times New Roman"/>
          <w:sz w:val="24"/>
          <w:szCs w:val="24"/>
        </w:rPr>
        <w:t xml:space="preserve"> экспертных заключения на проекты нормативных правовых актов, поступивших в Контрольно-счетную палату.</w:t>
      </w:r>
    </w:p>
    <w:p w:rsidR="0067452E" w:rsidRPr="003653DF" w:rsidRDefault="0067452E"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Отчеты и заключения о результатах контрольных и экспертно-аналитических мероприятий для сведения и принятия соответствующих мер в установленном порядке направлены в Законодательную Думу Томской области и Губернатору Томской области.</w:t>
      </w:r>
    </w:p>
    <w:p w:rsidR="0067452E" w:rsidRPr="003653DF" w:rsidRDefault="0067452E"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За отчетный период мероприятиями было охвачено </w:t>
      </w:r>
      <w:r w:rsidRPr="003653DF">
        <w:rPr>
          <w:rFonts w:ascii="Times New Roman" w:hAnsi="Times New Roman"/>
          <w:b/>
          <w:sz w:val="24"/>
          <w:szCs w:val="24"/>
        </w:rPr>
        <w:t xml:space="preserve">58 </w:t>
      </w:r>
      <w:r w:rsidRPr="003653DF">
        <w:rPr>
          <w:rFonts w:ascii="Times New Roman" w:hAnsi="Times New Roman"/>
          <w:sz w:val="24"/>
          <w:szCs w:val="24"/>
        </w:rPr>
        <w:t xml:space="preserve">объектов, из них </w:t>
      </w:r>
      <w:r w:rsidRPr="003653DF">
        <w:rPr>
          <w:rFonts w:ascii="Times New Roman" w:hAnsi="Times New Roman"/>
          <w:b/>
          <w:sz w:val="24"/>
          <w:szCs w:val="24"/>
        </w:rPr>
        <w:t>37</w:t>
      </w:r>
      <w:r w:rsidRPr="003653DF">
        <w:rPr>
          <w:rFonts w:ascii="Times New Roman" w:hAnsi="Times New Roman"/>
          <w:sz w:val="24"/>
          <w:szCs w:val="24"/>
        </w:rPr>
        <w:t xml:space="preserve"> – исполнительные органы Томской области и местного самоуправления, </w:t>
      </w:r>
      <w:r w:rsidRPr="003653DF">
        <w:rPr>
          <w:rFonts w:ascii="Times New Roman" w:hAnsi="Times New Roman"/>
          <w:b/>
          <w:sz w:val="24"/>
          <w:szCs w:val="24"/>
        </w:rPr>
        <w:t>21</w:t>
      </w:r>
      <w:r w:rsidRPr="003653DF">
        <w:rPr>
          <w:rFonts w:ascii="Times New Roman" w:hAnsi="Times New Roman"/>
          <w:sz w:val="24"/>
          <w:szCs w:val="24"/>
        </w:rPr>
        <w:t xml:space="preserve"> – областные </w:t>
      </w:r>
      <w:r w:rsidRPr="003653DF">
        <w:rPr>
          <w:rFonts w:ascii="Times New Roman" w:hAnsi="Times New Roman"/>
          <w:sz w:val="24"/>
          <w:szCs w:val="24"/>
        </w:rPr>
        <w:lastRenderedPageBreak/>
        <w:t>государственные учреждения и организации, муниципальные учреждения и иные хозяйствующие субъекты.</w:t>
      </w:r>
    </w:p>
    <w:p w:rsidR="0067452E" w:rsidRPr="003653DF" w:rsidRDefault="0067452E" w:rsidP="009D76C5">
      <w:pPr>
        <w:spacing w:after="0" w:line="240" w:lineRule="auto"/>
        <w:ind w:firstLine="567"/>
        <w:jc w:val="both"/>
        <w:rPr>
          <w:rFonts w:ascii="Times New Roman" w:hAnsi="Times New Roman"/>
          <w:sz w:val="24"/>
          <w:szCs w:val="24"/>
        </w:rPr>
      </w:pPr>
      <w:r w:rsidRPr="003653DF">
        <w:rPr>
          <w:rFonts w:ascii="Times New Roman" w:hAnsi="Times New Roman"/>
          <w:b/>
          <w:sz w:val="24"/>
          <w:szCs w:val="24"/>
        </w:rPr>
        <w:t xml:space="preserve">Объем проверенных средств составил </w:t>
      </w:r>
      <w:r w:rsidR="00005A8F" w:rsidRPr="003653DF">
        <w:rPr>
          <w:rFonts w:ascii="Times New Roman" w:hAnsi="Times New Roman"/>
          <w:b/>
          <w:sz w:val="24"/>
          <w:szCs w:val="24"/>
        </w:rPr>
        <w:t xml:space="preserve">189 402,8 </w:t>
      </w:r>
      <w:r w:rsidRPr="003653DF">
        <w:rPr>
          <w:rFonts w:ascii="Times New Roman" w:hAnsi="Times New Roman"/>
          <w:b/>
          <w:sz w:val="24"/>
          <w:szCs w:val="24"/>
        </w:rPr>
        <w:t>млн.руб.</w:t>
      </w:r>
      <w:r w:rsidRPr="003653DF">
        <w:rPr>
          <w:rFonts w:ascii="Times New Roman" w:hAnsi="Times New Roman"/>
          <w:sz w:val="24"/>
          <w:szCs w:val="24"/>
        </w:rPr>
        <w:t>, в том числе:</w:t>
      </w:r>
    </w:p>
    <w:p w:rsidR="0067452E" w:rsidRPr="003653DF" w:rsidRDefault="0067452E" w:rsidP="009D76C5">
      <w:pPr>
        <w:spacing w:after="0" w:line="240" w:lineRule="auto"/>
        <w:ind w:firstLine="284"/>
        <w:jc w:val="both"/>
        <w:rPr>
          <w:rFonts w:ascii="Times New Roman" w:hAnsi="Times New Roman"/>
          <w:b/>
          <w:sz w:val="24"/>
          <w:szCs w:val="24"/>
        </w:rPr>
      </w:pPr>
      <w:r w:rsidRPr="003653DF">
        <w:rPr>
          <w:rFonts w:ascii="Times New Roman" w:hAnsi="Times New Roman"/>
          <w:sz w:val="24"/>
          <w:szCs w:val="24"/>
        </w:rPr>
        <w:t xml:space="preserve">- областного бюджета – </w:t>
      </w:r>
      <w:r w:rsidR="00005A8F" w:rsidRPr="003653DF">
        <w:rPr>
          <w:rFonts w:ascii="Times New Roman" w:hAnsi="Times New Roman"/>
          <w:b/>
          <w:sz w:val="24"/>
          <w:szCs w:val="24"/>
        </w:rPr>
        <w:t xml:space="preserve">136 108,7 </w:t>
      </w:r>
      <w:r w:rsidRPr="003653DF">
        <w:rPr>
          <w:rFonts w:ascii="Times New Roman" w:hAnsi="Times New Roman"/>
          <w:b/>
          <w:sz w:val="24"/>
          <w:szCs w:val="24"/>
        </w:rPr>
        <w:t>млн.руб.</w:t>
      </w:r>
      <w:r w:rsidRPr="003653DF">
        <w:rPr>
          <w:rFonts w:ascii="Times New Roman" w:hAnsi="Times New Roman"/>
          <w:sz w:val="24"/>
          <w:szCs w:val="24"/>
        </w:rPr>
        <w:t>;</w:t>
      </w:r>
    </w:p>
    <w:p w:rsidR="0067452E" w:rsidRPr="003653DF" w:rsidRDefault="0067452E" w:rsidP="009D76C5">
      <w:pPr>
        <w:spacing w:after="0" w:line="240" w:lineRule="auto"/>
        <w:ind w:firstLine="284"/>
        <w:jc w:val="both"/>
        <w:rPr>
          <w:rFonts w:ascii="Times New Roman" w:hAnsi="Times New Roman"/>
          <w:sz w:val="24"/>
          <w:szCs w:val="24"/>
        </w:rPr>
      </w:pPr>
      <w:r w:rsidRPr="003653DF">
        <w:rPr>
          <w:rFonts w:ascii="Times New Roman" w:hAnsi="Times New Roman"/>
          <w:sz w:val="24"/>
          <w:szCs w:val="24"/>
        </w:rPr>
        <w:t xml:space="preserve">- федерального бюджета – </w:t>
      </w:r>
      <w:r w:rsidR="00005A8F" w:rsidRPr="003653DF">
        <w:rPr>
          <w:rFonts w:ascii="Times New Roman" w:hAnsi="Times New Roman"/>
          <w:b/>
          <w:sz w:val="24"/>
          <w:szCs w:val="24"/>
        </w:rPr>
        <w:t xml:space="preserve">3 437,5 </w:t>
      </w:r>
      <w:r w:rsidRPr="003653DF">
        <w:rPr>
          <w:rFonts w:ascii="Times New Roman" w:hAnsi="Times New Roman"/>
          <w:b/>
          <w:sz w:val="24"/>
          <w:szCs w:val="24"/>
        </w:rPr>
        <w:t>млн.руб.</w:t>
      </w:r>
      <w:r w:rsidRPr="003653DF">
        <w:rPr>
          <w:rFonts w:ascii="Times New Roman" w:hAnsi="Times New Roman"/>
          <w:sz w:val="24"/>
          <w:szCs w:val="24"/>
        </w:rPr>
        <w:t>;</w:t>
      </w:r>
    </w:p>
    <w:p w:rsidR="0067452E" w:rsidRPr="003653DF" w:rsidRDefault="0067452E" w:rsidP="009D76C5">
      <w:pPr>
        <w:spacing w:after="0" w:line="240" w:lineRule="auto"/>
        <w:ind w:firstLine="284"/>
        <w:jc w:val="both"/>
        <w:rPr>
          <w:rFonts w:ascii="Times New Roman" w:hAnsi="Times New Roman"/>
          <w:sz w:val="24"/>
          <w:szCs w:val="24"/>
        </w:rPr>
      </w:pPr>
      <w:r w:rsidRPr="003653DF">
        <w:rPr>
          <w:rFonts w:ascii="Times New Roman" w:hAnsi="Times New Roman"/>
          <w:sz w:val="24"/>
          <w:szCs w:val="24"/>
        </w:rPr>
        <w:t xml:space="preserve">- местных бюджетов – </w:t>
      </w:r>
      <w:r w:rsidR="00005A8F" w:rsidRPr="003653DF">
        <w:rPr>
          <w:rFonts w:ascii="Times New Roman" w:hAnsi="Times New Roman"/>
          <w:b/>
          <w:sz w:val="24"/>
          <w:szCs w:val="24"/>
        </w:rPr>
        <w:t>25,7</w:t>
      </w:r>
      <w:r w:rsidRPr="003653DF">
        <w:rPr>
          <w:rFonts w:ascii="Times New Roman" w:hAnsi="Times New Roman"/>
          <w:b/>
          <w:sz w:val="24"/>
          <w:szCs w:val="24"/>
        </w:rPr>
        <w:t xml:space="preserve"> млн.руб.</w:t>
      </w:r>
      <w:r w:rsidRPr="003653DF">
        <w:rPr>
          <w:rFonts w:ascii="Times New Roman" w:hAnsi="Times New Roman"/>
          <w:sz w:val="24"/>
          <w:szCs w:val="24"/>
        </w:rPr>
        <w:t>;</w:t>
      </w:r>
    </w:p>
    <w:p w:rsidR="0067452E" w:rsidRPr="003653DF" w:rsidRDefault="0067452E" w:rsidP="009D76C5">
      <w:pPr>
        <w:spacing w:after="0" w:line="240" w:lineRule="auto"/>
        <w:ind w:firstLine="284"/>
        <w:jc w:val="both"/>
        <w:rPr>
          <w:rFonts w:ascii="Times New Roman" w:hAnsi="Times New Roman"/>
          <w:sz w:val="24"/>
          <w:szCs w:val="24"/>
        </w:rPr>
      </w:pPr>
      <w:r w:rsidRPr="003653DF">
        <w:rPr>
          <w:rFonts w:ascii="Times New Roman" w:hAnsi="Times New Roman"/>
          <w:sz w:val="24"/>
          <w:szCs w:val="24"/>
        </w:rPr>
        <w:t xml:space="preserve">- внебюджетных средств – </w:t>
      </w:r>
      <w:r w:rsidR="00005A8F" w:rsidRPr="003653DF">
        <w:rPr>
          <w:rFonts w:ascii="Times New Roman" w:hAnsi="Times New Roman"/>
          <w:b/>
          <w:sz w:val="24"/>
          <w:szCs w:val="24"/>
        </w:rPr>
        <w:t xml:space="preserve">49 830,9 </w:t>
      </w:r>
      <w:r w:rsidRPr="003653DF">
        <w:rPr>
          <w:rFonts w:ascii="Times New Roman" w:hAnsi="Times New Roman"/>
          <w:b/>
          <w:sz w:val="24"/>
          <w:szCs w:val="24"/>
        </w:rPr>
        <w:t>млн.руб.</w:t>
      </w:r>
    </w:p>
    <w:p w:rsidR="00005A8F" w:rsidRPr="003653DF" w:rsidRDefault="00005A8F" w:rsidP="009D76C5">
      <w:pPr>
        <w:spacing w:after="0" w:line="240" w:lineRule="auto"/>
        <w:ind w:firstLine="567"/>
        <w:jc w:val="both"/>
        <w:rPr>
          <w:rFonts w:ascii="Times New Roman" w:hAnsi="Times New Roman"/>
          <w:sz w:val="24"/>
          <w:szCs w:val="24"/>
        </w:rPr>
      </w:pPr>
    </w:p>
    <w:p w:rsidR="0067452E" w:rsidRPr="003653DF" w:rsidRDefault="0067452E"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В структуре общего объема проверенных средств доля средств областного бюджета составила </w:t>
      </w:r>
      <w:r w:rsidR="00005A8F" w:rsidRPr="003653DF">
        <w:rPr>
          <w:rFonts w:ascii="Times New Roman" w:hAnsi="Times New Roman"/>
          <w:sz w:val="24"/>
          <w:szCs w:val="24"/>
        </w:rPr>
        <w:t>71,9</w:t>
      </w:r>
      <w:r w:rsidRPr="003653DF">
        <w:rPr>
          <w:rFonts w:ascii="Times New Roman" w:hAnsi="Times New Roman"/>
          <w:sz w:val="24"/>
          <w:szCs w:val="24"/>
        </w:rPr>
        <w:t xml:space="preserve">%. </w:t>
      </w:r>
    </w:p>
    <w:p w:rsidR="0067452E" w:rsidRPr="003653DF" w:rsidRDefault="0067452E"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В ходе мероприятий было выявлено </w:t>
      </w:r>
      <w:r w:rsidR="00005A8F" w:rsidRPr="003653DF">
        <w:rPr>
          <w:rFonts w:ascii="Times New Roman" w:hAnsi="Times New Roman"/>
          <w:b/>
          <w:sz w:val="24"/>
          <w:szCs w:val="24"/>
        </w:rPr>
        <w:t>367</w:t>
      </w:r>
      <w:r w:rsidRPr="003653DF">
        <w:rPr>
          <w:rFonts w:ascii="Times New Roman" w:hAnsi="Times New Roman"/>
          <w:sz w:val="24"/>
          <w:szCs w:val="24"/>
        </w:rPr>
        <w:t xml:space="preserve"> нарушени</w:t>
      </w:r>
      <w:r w:rsidR="00005A8F" w:rsidRPr="003653DF">
        <w:rPr>
          <w:rFonts w:ascii="Times New Roman" w:hAnsi="Times New Roman"/>
          <w:sz w:val="24"/>
          <w:szCs w:val="24"/>
        </w:rPr>
        <w:t>й</w:t>
      </w:r>
      <w:r w:rsidRPr="003653DF">
        <w:rPr>
          <w:rFonts w:ascii="Times New Roman" w:hAnsi="Times New Roman"/>
          <w:sz w:val="24"/>
          <w:szCs w:val="24"/>
        </w:rPr>
        <w:t xml:space="preserve"> </w:t>
      </w:r>
      <w:r w:rsidR="00005A8F" w:rsidRPr="003653DF">
        <w:rPr>
          <w:rFonts w:ascii="Times New Roman" w:hAnsi="Times New Roman"/>
          <w:sz w:val="24"/>
          <w:szCs w:val="24"/>
        </w:rPr>
        <w:t>(</w:t>
      </w:r>
      <w:r w:rsidRPr="003653DF">
        <w:rPr>
          <w:rFonts w:ascii="Times New Roman" w:hAnsi="Times New Roman"/>
          <w:sz w:val="24"/>
          <w:szCs w:val="24"/>
        </w:rPr>
        <w:t>недостатк</w:t>
      </w:r>
      <w:r w:rsidR="00005A8F" w:rsidRPr="003653DF">
        <w:rPr>
          <w:rFonts w:ascii="Times New Roman" w:hAnsi="Times New Roman"/>
          <w:sz w:val="24"/>
          <w:szCs w:val="24"/>
        </w:rPr>
        <w:t>ов)*</w:t>
      </w:r>
      <w:r w:rsidRPr="003653DF">
        <w:rPr>
          <w:rFonts w:ascii="Times New Roman" w:hAnsi="Times New Roman"/>
          <w:sz w:val="24"/>
          <w:szCs w:val="24"/>
        </w:rPr>
        <w:t xml:space="preserve"> при исполнении действующих нормативных правовых актов, допущенных объектами аудита - участниками бюджетного процесса и субъектами экономической деятельности, не являющимися участниками бюджетного процесса, в том числе:</w:t>
      </w:r>
    </w:p>
    <w:p w:rsidR="00A352E3" w:rsidRPr="003653DF" w:rsidRDefault="00A352E3" w:rsidP="009D76C5">
      <w:pPr>
        <w:spacing w:after="0" w:line="240" w:lineRule="auto"/>
        <w:ind w:firstLine="284"/>
        <w:jc w:val="both"/>
        <w:rPr>
          <w:rFonts w:ascii="Times New Roman" w:hAnsi="Times New Roman"/>
          <w:sz w:val="24"/>
          <w:szCs w:val="24"/>
        </w:rPr>
      </w:pPr>
      <w:r w:rsidRPr="003653DF">
        <w:rPr>
          <w:rFonts w:ascii="Times New Roman" w:hAnsi="Times New Roman"/>
          <w:sz w:val="24"/>
          <w:szCs w:val="24"/>
        </w:rPr>
        <w:t xml:space="preserve">- </w:t>
      </w:r>
      <w:r w:rsidRPr="003653DF">
        <w:rPr>
          <w:rFonts w:ascii="Times New Roman" w:hAnsi="Times New Roman"/>
          <w:b/>
          <w:sz w:val="24"/>
          <w:szCs w:val="24"/>
        </w:rPr>
        <w:t xml:space="preserve">153 </w:t>
      </w:r>
      <w:r w:rsidRPr="003653DF">
        <w:rPr>
          <w:rFonts w:ascii="Times New Roman" w:hAnsi="Times New Roman"/>
          <w:sz w:val="24"/>
          <w:szCs w:val="24"/>
        </w:rPr>
        <w:t>при формировании бюджетов (планировании),</w:t>
      </w:r>
    </w:p>
    <w:p w:rsidR="00411E6B" w:rsidRPr="003653DF" w:rsidRDefault="00411E6B" w:rsidP="009D76C5">
      <w:pPr>
        <w:spacing w:after="0" w:line="240" w:lineRule="auto"/>
        <w:ind w:firstLine="284"/>
        <w:jc w:val="both"/>
        <w:rPr>
          <w:rFonts w:ascii="Times New Roman" w:hAnsi="Times New Roman"/>
          <w:sz w:val="24"/>
          <w:szCs w:val="24"/>
        </w:rPr>
      </w:pPr>
      <w:r w:rsidRPr="003653DF">
        <w:rPr>
          <w:rFonts w:ascii="Times New Roman" w:hAnsi="Times New Roman"/>
          <w:sz w:val="24"/>
          <w:szCs w:val="24"/>
        </w:rPr>
        <w:t xml:space="preserve">- </w:t>
      </w:r>
      <w:r w:rsidRPr="003653DF">
        <w:rPr>
          <w:rFonts w:ascii="Times New Roman" w:hAnsi="Times New Roman"/>
          <w:b/>
          <w:sz w:val="24"/>
          <w:szCs w:val="24"/>
        </w:rPr>
        <w:t xml:space="preserve">76 </w:t>
      </w:r>
      <w:r w:rsidRPr="003653DF">
        <w:rPr>
          <w:rFonts w:ascii="Times New Roman" w:hAnsi="Times New Roman"/>
          <w:sz w:val="24"/>
          <w:szCs w:val="24"/>
        </w:rPr>
        <w:t>при исполнении расходов (использовании бюджетных средств),</w:t>
      </w:r>
    </w:p>
    <w:p w:rsidR="00A352E3" w:rsidRPr="003653DF" w:rsidRDefault="00A352E3" w:rsidP="009D76C5">
      <w:pPr>
        <w:spacing w:after="0" w:line="240" w:lineRule="auto"/>
        <w:ind w:firstLine="284"/>
        <w:jc w:val="both"/>
        <w:rPr>
          <w:rFonts w:ascii="Times New Roman" w:hAnsi="Times New Roman"/>
          <w:sz w:val="24"/>
          <w:szCs w:val="24"/>
        </w:rPr>
      </w:pPr>
      <w:r w:rsidRPr="003653DF">
        <w:rPr>
          <w:rFonts w:ascii="Times New Roman" w:hAnsi="Times New Roman"/>
          <w:sz w:val="24"/>
          <w:szCs w:val="24"/>
        </w:rPr>
        <w:t xml:space="preserve">- </w:t>
      </w:r>
      <w:r w:rsidRPr="003653DF">
        <w:rPr>
          <w:rFonts w:ascii="Times New Roman" w:hAnsi="Times New Roman"/>
          <w:b/>
          <w:sz w:val="24"/>
          <w:szCs w:val="24"/>
        </w:rPr>
        <w:t xml:space="preserve">70 </w:t>
      </w:r>
      <w:r w:rsidRPr="003653DF">
        <w:rPr>
          <w:rFonts w:ascii="Times New Roman" w:hAnsi="Times New Roman"/>
          <w:sz w:val="24"/>
          <w:szCs w:val="24"/>
        </w:rPr>
        <w:t xml:space="preserve">при ведении бухгалтерского и (или) бюджетного учета и составлении отчетности, </w:t>
      </w:r>
    </w:p>
    <w:p w:rsidR="00BA2B48" w:rsidRPr="003653DF" w:rsidRDefault="00A352E3" w:rsidP="009D76C5">
      <w:pPr>
        <w:spacing w:after="0" w:line="240" w:lineRule="auto"/>
        <w:ind w:firstLine="284"/>
        <w:jc w:val="both"/>
        <w:rPr>
          <w:rFonts w:ascii="Times New Roman" w:hAnsi="Times New Roman"/>
          <w:sz w:val="24"/>
          <w:szCs w:val="24"/>
        </w:rPr>
      </w:pPr>
      <w:r w:rsidRPr="003653DF">
        <w:rPr>
          <w:rFonts w:ascii="Times New Roman" w:hAnsi="Times New Roman"/>
          <w:sz w:val="24"/>
          <w:szCs w:val="24"/>
        </w:rPr>
        <w:t xml:space="preserve">- </w:t>
      </w:r>
      <w:r w:rsidR="00CE2B2D" w:rsidRPr="003653DF">
        <w:rPr>
          <w:rFonts w:ascii="Times New Roman" w:hAnsi="Times New Roman"/>
          <w:b/>
          <w:sz w:val="24"/>
          <w:szCs w:val="24"/>
        </w:rPr>
        <w:t xml:space="preserve">39 </w:t>
      </w:r>
      <w:r w:rsidRPr="003653DF">
        <w:rPr>
          <w:rFonts w:ascii="Times New Roman" w:hAnsi="Times New Roman"/>
          <w:sz w:val="24"/>
          <w:szCs w:val="24"/>
        </w:rPr>
        <w:t>при осуществлении закупочной деятельности,</w:t>
      </w:r>
    </w:p>
    <w:p w:rsidR="00BA2B48" w:rsidRPr="003653DF" w:rsidRDefault="00A352E3" w:rsidP="009D76C5">
      <w:pPr>
        <w:spacing w:after="0" w:line="240" w:lineRule="auto"/>
        <w:ind w:firstLine="284"/>
        <w:jc w:val="both"/>
        <w:rPr>
          <w:rFonts w:ascii="Times New Roman" w:hAnsi="Times New Roman"/>
          <w:sz w:val="24"/>
          <w:szCs w:val="24"/>
        </w:rPr>
      </w:pPr>
      <w:r w:rsidRPr="003653DF">
        <w:rPr>
          <w:rFonts w:ascii="Times New Roman" w:hAnsi="Times New Roman"/>
          <w:sz w:val="24"/>
          <w:szCs w:val="24"/>
        </w:rPr>
        <w:t xml:space="preserve">- </w:t>
      </w:r>
      <w:r w:rsidRPr="003653DF">
        <w:rPr>
          <w:rFonts w:ascii="Times New Roman" w:hAnsi="Times New Roman"/>
          <w:b/>
          <w:sz w:val="24"/>
          <w:szCs w:val="24"/>
        </w:rPr>
        <w:t xml:space="preserve">8 </w:t>
      </w:r>
      <w:r w:rsidRPr="003653DF">
        <w:rPr>
          <w:rFonts w:ascii="Times New Roman" w:hAnsi="Times New Roman"/>
          <w:sz w:val="24"/>
          <w:szCs w:val="24"/>
        </w:rPr>
        <w:t>н</w:t>
      </w:r>
      <w:r w:rsidR="00CE2B2D" w:rsidRPr="003653DF">
        <w:rPr>
          <w:rFonts w:ascii="Times New Roman" w:hAnsi="Times New Roman"/>
          <w:sz w:val="24"/>
          <w:szCs w:val="24"/>
        </w:rPr>
        <w:t>ецелево</w:t>
      </w:r>
      <w:r w:rsidRPr="003653DF">
        <w:rPr>
          <w:rFonts w:ascii="Times New Roman" w:hAnsi="Times New Roman"/>
          <w:sz w:val="24"/>
          <w:szCs w:val="24"/>
        </w:rPr>
        <w:t>го использования бюджетных средств,</w:t>
      </w:r>
    </w:p>
    <w:p w:rsidR="00BA2B48" w:rsidRPr="003653DF" w:rsidRDefault="00A352E3" w:rsidP="009D76C5">
      <w:pPr>
        <w:spacing w:after="0" w:line="240" w:lineRule="auto"/>
        <w:ind w:firstLine="284"/>
        <w:jc w:val="both"/>
        <w:rPr>
          <w:rFonts w:ascii="Times New Roman" w:hAnsi="Times New Roman"/>
          <w:sz w:val="24"/>
          <w:szCs w:val="24"/>
        </w:rPr>
      </w:pPr>
      <w:r w:rsidRPr="003653DF">
        <w:rPr>
          <w:rFonts w:ascii="Times New Roman" w:hAnsi="Times New Roman"/>
          <w:sz w:val="24"/>
          <w:szCs w:val="24"/>
        </w:rPr>
        <w:t xml:space="preserve">- </w:t>
      </w:r>
      <w:r w:rsidRPr="003653DF">
        <w:rPr>
          <w:rFonts w:ascii="Times New Roman" w:hAnsi="Times New Roman"/>
          <w:b/>
          <w:sz w:val="24"/>
          <w:szCs w:val="24"/>
        </w:rPr>
        <w:t xml:space="preserve">5 </w:t>
      </w:r>
      <w:r w:rsidRPr="003653DF">
        <w:rPr>
          <w:rFonts w:ascii="Times New Roman" w:hAnsi="Times New Roman"/>
          <w:sz w:val="24"/>
          <w:szCs w:val="24"/>
        </w:rPr>
        <w:t>в деятельности юридических лиц с участием Томской области,</w:t>
      </w:r>
    </w:p>
    <w:p w:rsidR="00BA2B48" w:rsidRPr="003653DF" w:rsidRDefault="00A352E3" w:rsidP="009D76C5">
      <w:pPr>
        <w:spacing w:after="0" w:line="240" w:lineRule="auto"/>
        <w:ind w:firstLine="284"/>
        <w:jc w:val="both"/>
        <w:rPr>
          <w:rFonts w:ascii="Times New Roman" w:hAnsi="Times New Roman"/>
          <w:sz w:val="24"/>
          <w:szCs w:val="24"/>
        </w:rPr>
      </w:pPr>
      <w:r w:rsidRPr="003653DF">
        <w:rPr>
          <w:rFonts w:ascii="Times New Roman" w:hAnsi="Times New Roman"/>
          <w:sz w:val="24"/>
          <w:szCs w:val="24"/>
        </w:rPr>
        <w:t xml:space="preserve">- </w:t>
      </w:r>
      <w:r w:rsidRPr="003653DF">
        <w:rPr>
          <w:rFonts w:ascii="Times New Roman" w:hAnsi="Times New Roman"/>
          <w:b/>
          <w:sz w:val="24"/>
          <w:szCs w:val="24"/>
        </w:rPr>
        <w:t xml:space="preserve">1 </w:t>
      </w:r>
      <w:r w:rsidRPr="003653DF">
        <w:rPr>
          <w:rFonts w:ascii="Times New Roman" w:hAnsi="Times New Roman"/>
          <w:sz w:val="24"/>
          <w:szCs w:val="24"/>
        </w:rPr>
        <w:t>при управлении и распоряжении собственностью,</w:t>
      </w:r>
    </w:p>
    <w:p w:rsidR="00A352E3" w:rsidRPr="003653DF" w:rsidRDefault="00A352E3" w:rsidP="009D76C5">
      <w:pPr>
        <w:spacing w:after="0" w:line="240" w:lineRule="auto"/>
        <w:ind w:firstLine="284"/>
        <w:jc w:val="both"/>
        <w:rPr>
          <w:rFonts w:ascii="Times New Roman" w:hAnsi="Times New Roman"/>
          <w:sz w:val="24"/>
          <w:szCs w:val="24"/>
        </w:rPr>
      </w:pPr>
      <w:r w:rsidRPr="003653DF">
        <w:rPr>
          <w:rFonts w:ascii="Times New Roman" w:hAnsi="Times New Roman"/>
          <w:sz w:val="24"/>
          <w:szCs w:val="24"/>
        </w:rPr>
        <w:t xml:space="preserve">- </w:t>
      </w:r>
      <w:r w:rsidRPr="003653DF">
        <w:rPr>
          <w:rFonts w:ascii="Times New Roman" w:hAnsi="Times New Roman"/>
          <w:b/>
          <w:sz w:val="24"/>
          <w:szCs w:val="24"/>
        </w:rPr>
        <w:t xml:space="preserve">15 </w:t>
      </w:r>
      <w:r w:rsidRPr="003653DF">
        <w:rPr>
          <w:rFonts w:ascii="Times New Roman" w:hAnsi="Times New Roman"/>
          <w:sz w:val="24"/>
          <w:szCs w:val="24"/>
        </w:rPr>
        <w:t>иные нарушения (недостатки).</w:t>
      </w:r>
    </w:p>
    <w:p w:rsidR="00411E6B" w:rsidRPr="003653DF" w:rsidRDefault="00411E6B"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Кроме того, выявлено </w:t>
      </w:r>
      <w:r w:rsidRPr="003653DF">
        <w:rPr>
          <w:rFonts w:ascii="Times New Roman" w:hAnsi="Times New Roman"/>
          <w:b/>
          <w:sz w:val="24"/>
          <w:szCs w:val="24"/>
        </w:rPr>
        <w:t>12</w:t>
      </w:r>
      <w:r w:rsidRPr="003653DF">
        <w:rPr>
          <w:rFonts w:ascii="Times New Roman" w:hAnsi="Times New Roman"/>
          <w:sz w:val="24"/>
          <w:szCs w:val="24"/>
        </w:rPr>
        <w:t xml:space="preserve"> фактов неэффективного использования бюджетных средств и имущества.</w:t>
      </w:r>
    </w:p>
    <w:p w:rsidR="00005A8F" w:rsidRPr="003653DF" w:rsidRDefault="00005A8F" w:rsidP="009D76C5">
      <w:pPr>
        <w:spacing w:after="0" w:line="240" w:lineRule="auto"/>
        <w:jc w:val="both"/>
        <w:rPr>
          <w:rFonts w:ascii="Times New Roman" w:hAnsi="Times New Roman"/>
          <w:sz w:val="20"/>
          <w:szCs w:val="24"/>
        </w:rPr>
      </w:pPr>
      <w:r w:rsidRPr="003653DF">
        <w:rPr>
          <w:rFonts w:ascii="Times New Roman" w:hAnsi="Times New Roman"/>
          <w:sz w:val="20"/>
          <w:szCs w:val="24"/>
        </w:rPr>
        <w:t>*</w:t>
      </w:r>
      <w:r w:rsidR="00A352E3" w:rsidRPr="003653DF">
        <w:rPr>
          <w:rFonts w:ascii="Times New Roman" w:hAnsi="Times New Roman"/>
          <w:sz w:val="20"/>
          <w:szCs w:val="24"/>
        </w:rPr>
        <w:t xml:space="preserve"> </w:t>
      </w:r>
      <w:r w:rsidRPr="003653DF">
        <w:rPr>
          <w:rFonts w:ascii="Times New Roman" w:hAnsi="Times New Roman"/>
          <w:sz w:val="20"/>
          <w:szCs w:val="24"/>
        </w:rPr>
        <w:t>-</w:t>
      </w:r>
      <w:r w:rsidR="00A352E3" w:rsidRPr="003653DF">
        <w:rPr>
          <w:rFonts w:ascii="Times New Roman" w:hAnsi="Times New Roman"/>
          <w:sz w:val="20"/>
          <w:szCs w:val="24"/>
        </w:rPr>
        <w:t xml:space="preserve"> </w:t>
      </w:r>
      <w:r w:rsidRPr="003653DF">
        <w:rPr>
          <w:rFonts w:ascii="Times New Roman" w:hAnsi="Times New Roman"/>
          <w:sz w:val="20"/>
          <w:szCs w:val="24"/>
        </w:rPr>
        <w:t>с 2023 года Контрольно-счетной палатой применяется Классификатор нарушений, выявляемых в ходе внешнего государственного аудита (контроля), утверждённый постановлением Коллегии Счетной палаты РФ</w:t>
      </w:r>
      <w:r w:rsidR="00A352E3" w:rsidRPr="003653DF">
        <w:rPr>
          <w:rFonts w:ascii="Times New Roman" w:hAnsi="Times New Roman"/>
          <w:sz w:val="20"/>
          <w:szCs w:val="24"/>
        </w:rPr>
        <w:t xml:space="preserve"> </w:t>
      </w:r>
      <w:r w:rsidRPr="003653DF">
        <w:rPr>
          <w:rFonts w:ascii="Times New Roman" w:hAnsi="Times New Roman"/>
          <w:sz w:val="20"/>
          <w:szCs w:val="24"/>
        </w:rPr>
        <w:t>от 21</w:t>
      </w:r>
      <w:r w:rsidR="00A352E3" w:rsidRPr="003653DF">
        <w:rPr>
          <w:rFonts w:ascii="Times New Roman" w:hAnsi="Times New Roman"/>
          <w:sz w:val="20"/>
          <w:szCs w:val="24"/>
        </w:rPr>
        <w:t>.12.</w:t>
      </w:r>
      <w:r w:rsidRPr="003653DF">
        <w:rPr>
          <w:rFonts w:ascii="Times New Roman" w:hAnsi="Times New Roman"/>
          <w:sz w:val="20"/>
          <w:szCs w:val="24"/>
        </w:rPr>
        <w:t>2021 № 14ПК</w:t>
      </w:r>
      <w:r w:rsidR="00A352E3" w:rsidRPr="003653DF">
        <w:rPr>
          <w:rFonts w:ascii="Times New Roman" w:hAnsi="Times New Roman"/>
          <w:sz w:val="20"/>
          <w:szCs w:val="24"/>
        </w:rPr>
        <w:t xml:space="preserve"> (одобрен Советом контрольно-счетных органов при Счетной палате РФ 22.12.2021 протокол №11-СКСО)</w:t>
      </w:r>
    </w:p>
    <w:p w:rsidR="00005A8F" w:rsidRPr="003653DF" w:rsidRDefault="00005A8F" w:rsidP="009D76C5">
      <w:pPr>
        <w:spacing w:after="0" w:line="240" w:lineRule="auto"/>
        <w:jc w:val="both"/>
        <w:rPr>
          <w:rFonts w:ascii="Times New Roman" w:hAnsi="Times New Roman"/>
          <w:sz w:val="24"/>
          <w:szCs w:val="24"/>
        </w:rPr>
      </w:pPr>
    </w:p>
    <w:p w:rsidR="0067452E" w:rsidRPr="003653DF" w:rsidRDefault="00411E6B"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О</w:t>
      </w:r>
      <w:r w:rsidR="0067452E" w:rsidRPr="003653DF">
        <w:rPr>
          <w:rFonts w:ascii="Times New Roman" w:hAnsi="Times New Roman"/>
          <w:sz w:val="24"/>
          <w:szCs w:val="24"/>
        </w:rPr>
        <w:t>бъем выявленных нарушений в финансовом выражении составил</w:t>
      </w:r>
      <w:r w:rsidR="0067452E" w:rsidRPr="003653DF">
        <w:rPr>
          <w:rFonts w:ascii="Times New Roman" w:hAnsi="Times New Roman"/>
          <w:b/>
          <w:sz w:val="24"/>
          <w:szCs w:val="24"/>
        </w:rPr>
        <w:t xml:space="preserve"> </w:t>
      </w:r>
      <w:r w:rsidRPr="003653DF">
        <w:rPr>
          <w:rFonts w:ascii="Times New Roman" w:hAnsi="Times New Roman"/>
          <w:b/>
          <w:sz w:val="24"/>
          <w:szCs w:val="24"/>
        </w:rPr>
        <w:t>258,7</w:t>
      </w:r>
      <w:r w:rsidR="0067452E" w:rsidRPr="003653DF">
        <w:rPr>
          <w:rFonts w:ascii="Times New Roman" w:hAnsi="Times New Roman"/>
          <w:b/>
          <w:sz w:val="24"/>
          <w:szCs w:val="24"/>
        </w:rPr>
        <w:t xml:space="preserve"> млн.руб.</w:t>
      </w:r>
      <w:r w:rsidR="0067452E" w:rsidRPr="003653DF">
        <w:rPr>
          <w:rFonts w:ascii="Times New Roman" w:hAnsi="Times New Roman"/>
          <w:sz w:val="24"/>
          <w:szCs w:val="24"/>
        </w:rPr>
        <w:t>, в том числе:</w:t>
      </w:r>
    </w:p>
    <w:p w:rsidR="00411E6B" w:rsidRPr="003653DF" w:rsidRDefault="00411E6B" w:rsidP="009D76C5">
      <w:pPr>
        <w:spacing w:after="0" w:line="240" w:lineRule="auto"/>
        <w:ind w:firstLine="284"/>
        <w:jc w:val="both"/>
        <w:rPr>
          <w:rFonts w:ascii="Times New Roman" w:hAnsi="Times New Roman"/>
          <w:sz w:val="24"/>
          <w:szCs w:val="24"/>
        </w:rPr>
      </w:pPr>
      <w:r w:rsidRPr="003653DF">
        <w:rPr>
          <w:rFonts w:ascii="Times New Roman" w:hAnsi="Times New Roman"/>
          <w:sz w:val="24"/>
          <w:szCs w:val="24"/>
        </w:rPr>
        <w:t xml:space="preserve">- </w:t>
      </w:r>
      <w:r w:rsidRPr="003653DF">
        <w:rPr>
          <w:rFonts w:ascii="Times New Roman" w:hAnsi="Times New Roman"/>
          <w:b/>
          <w:sz w:val="24"/>
          <w:szCs w:val="24"/>
        </w:rPr>
        <w:t>162</w:t>
      </w:r>
      <w:r w:rsidRPr="003653DF">
        <w:rPr>
          <w:rFonts w:ascii="Times New Roman" w:hAnsi="Times New Roman"/>
          <w:sz w:val="24"/>
          <w:szCs w:val="24"/>
        </w:rPr>
        <w:t xml:space="preserve"> млн.руб.</w:t>
      </w:r>
      <w:r w:rsidRPr="003653DF">
        <w:rPr>
          <w:rFonts w:ascii="Times New Roman" w:hAnsi="Times New Roman"/>
          <w:b/>
          <w:sz w:val="24"/>
          <w:szCs w:val="24"/>
        </w:rPr>
        <w:t xml:space="preserve"> </w:t>
      </w:r>
      <w:r w:rsidRPr="003653DF">
        <w:rPr>
          <w:rFonts w:ascii="Times New Roman" w:hAnsi="Times New Roman"/>
          <w:sz w:val="24"/>
          <w:szCs w:val="24"/>
        </w:rPr>
        <w:t>при формировании бюджетов (планировании),</w:t>
      </w:r>
    </w:p>
    <w:p w:rsidR="00411E6B" w:rsidRPr="003653DF" w:rsidRDefault="00411E6B" w:rsidP="009D76C5">
      <w:pPr>
        <w:spacing w:after="0" w:line="240" w:lineRule="auto"/>
        <w:ind w:firstLine="284"/>
        <w:jc w:val="both"/>
        <w:rPr>
          <w:rFonts w:ascii="Times New Roman" w:hAnsi="Times New Roman"/>
          <w:sz w:val="24"/>
          <w:szCs w:val="24"/>
        </w:rPr>
      </w:pPr>
      <w:r w:rsidRPr="003653DF">
        <w:rPr>
          <w:rFonts w:ascii="Times New Roman" w:hAnsi="Times New Roman"/>
          <w:sz w:val="24"/>
          <w:szCs w:val="24"/>
        </w:rPr>
        <w:t xml:space="preserve">- </w:t>
      </w:r>
      <w:r w:rsidRPr="003653DF">
        <w:rPr>
          <w:rFonts w:ascii="Times New Roman" w:hAnsi="Times New Roman"/>
          <w:b/>
          <w:sz w:val="24"/>
          <w:szCs w:val="24"/>
        </w:rPr>
        <w:t>3,4</w:t>
      </w:r>
      <w:r w:rsidRPr="003653DF">
        <w:rPr>
          <w:rFonts w:ascii="Times New Roman" w:hAnsi="Times New Roman"/>
          <w:sz w:val="24"/>
          <w:szCs w:val="24"/>
        </w:rPr>
        <w:t xml:space="preserve"> млн.руб.</w:t>
      </w:r>
      <w:r w:rsidRPr="003653DF">
        <w:rPr>
          <w:rFonts w:ascii="Times New Roman" w:hAnsi="Times New Roman"/>
          <w:b/>
          <w:sz w:val="24"/>
          <w:szCs w:val="24"/>
        </w:rPr>
        <w:t xml:space="preserve"> </w:t>
      </w:r>
      <w:r w:rsidRPr="003653DF">
        <w:rPr>
          <w:rFonts w:ascii="Times New Roman" w:hAnsi="Times New Roman"/>
          <w:sz w:val="24"/>
          <w:szCs w:val="24"/>
        </w:rPr>
        <w:t>при исполнении расходов (использовании бюджетных средств),</w:t>
      </w:r>
    </w:p>
    <w:p w:rsidR="00411E6B" w:rsidRPr="003653DF" w:rsidRDefault="00411E6B" w:rsidP="009D76C5">
      <w:pPr>
        <w:spacing w:after="0" w:line="240" w:lineRule="auto"/>
        <w:ind w:firstLine="284"/>
        <w:jc w:val="both"/>
        <w:rPr>
          <w:rFonts w:ascii="Times New Roman" w:hAnsi="Times New Roman"/>
          <w:sz w:val="24"/>
          <w:szCs w:val="24"/>
        </w:rPr>
      </w:pPr>
      <w:r w:rsidRPr="003653DF">
        <w:rPr>
          <w:rFonts w:ascii="Times New Roman" w:hAnsi="Times New Roman"/>
          <w:sz w:val="24"/>
          <w:szCs w:val="24"/>
        </w:rPr>
        <w:t xml:space="preserve">- </w:t>
      </w:r>
      <w:r w:rsidRPr="003653DF">
        <w:rPr>
          <w:rFonts w:ascii="Times New Roman" w:hAnsi="Times New Roman"/>
          <w:b/>
          <w:sz w:val="24"/>
          <w:szCs w:val="24"/>
        </w:rPr>
        <w:t>87,4</w:t>
      </w:r>
      <w:r w:rsidRPr="003653DF">
        <w:rPr>
          <w:rFonts w:ascii="Times New Roman" w:hAnsi="Times New Roman"/>
          <w:sz w:val="24"/>
          <w:szCs w:val="24"/>
        </w:rPr>
        <w:t xml:space="preserve"> млн.руб.</w:t>
      </w:r>
      <w:r w:rsidRPr="003653DF">
        <w:rPr>
          <w:rFonts w:ascii="Times New Roman" w:hAnsi="Times New Roman"/>
          <w:b/>
          <w:sz w:val="24"/>
          <w:szCs w:val="24"/>
        </w:rPr>
        <w:t xml:space="preserve"> </w:t>
      </w:r>
      <w:r w:rsidRPr="003653DF">
        <w:rPr>
          <w:rFonts w:ascii="Times New Roman" w:hAnsi="Times New Roman"/>
          <w:sz w:val="24"/>
          <w:szCs w:val="24"/>
        </w:rPr>
        <w:t xml:space="preserve">при ведении бухгалтерского и (или) бюджетного учета и составлении отчетности, </w:t>
      </w:r>
    </w:p>
    <w:p w:rsidR="00411E6B" w:rsidRPr="003653DF" w:rsidRDefault="00411E6B" w:rsidP="009D76C5">
      <w:pPr>
        <w:spacing w:after="0" w:line="240" w:lineRule="auto"/>
        <w:ind w:firstLine="284"/>
        <w:jc w:val="both"/>
        <w:rPr>
          <w:rFonts w:ascii="Times New Roman" w:hAnsi="Times New Roman"/>
          <w:sz w:val="24"/>
          <w:szCs w:val="24"/>
        </w:rPr>
      </w:pPr>
      <w:r w:rsidRPr="003653DF">
        <w:rPr>
          <w:rFonts w:ascii="Times New Roman" w:hAnsi="Times New Roman"/>
          <w:sz w:val="24"/>
          <w:szCs w:val="24"/>
        </w:rPr>
        <w:t xml:space="preserve">- </w:t>
      </w:r>
      <w:r w:rsidRPr="003653DF">
        <w:rPr>
          <w:rFonts w:ascii="Times New Roman" w:hAnsi="Times New Roman"/>
          <w:b/>
          <w:sz w:val="24"/>
          <w:szCs w:val="24"/>
        </w:rPr>
        <w:t>4,2</w:t>
      </w:r>
      <w:r w:rsidRPr="003653DF">
        <w:rPr>
          <w:rFonts w:ascii="Times New Roman" w:hAnsi="Times New Roman"/>
          <w:sz w:val="24"/>
          <w:szCs w:val="24"/>
        </w:rPr>
        <w:t xml:space="preserve"> млн.руб.</w:t>
      </w:r>
      <w:r w:rsidRPr="003653DF">
        <w:rPr>
          <w:rFonts w:ascii="Times New Roman" w:hAnsi="Times New Roman"/>
          <w:b/>
          <w:sz w:val="24"/>
          <w:szCs w:val="24"/>
        </w:rPr>
        <w:t xml:space="preserve"> </w:t>
      </w:r>
      <w:r w:rsidRPr="003653DF">
        <w:rPr>
          <w:rFonts w:ascii="Times New Roman" w:hAnsi="Times New Roman"/>
          <w:sz w:val="24"/>
          <w:szCs w:val="24"/>
        </w:rPr>
        <w:t>при осуществлении закупочной деятельности,</w:t>
      </w:r>
    </w:p>
    <w:p w:rsidR="00411E6B" w:rsidRPr="003653DF" w:rsidRDefault="00411E6B" w:rsidP="009D76C5">
      <w:pPr>
        <w:spacing w:after="0" w:line="240" w:lineRule="auto"/>
        <w:ind w:firstLine="284"/>
        <w:jc w:val="both"/>
        <w:rPr>
          <w:rFonts w:ascii="Times New Roman" w:hAnsi="Times New Roman"/>
          <w:sz w:val="24"/>
          <w:szCs w:val="24"/>
        </w:rPr>
      </w:pPr>
      <w:r w:rsidRPr="003653DF">
        <w:rPr>
          <w:rFonts w:ascii="Times New Roman" w:hAnsi="Times New Roman"/>
          <w:sz w:val="24"/>
          <w:szCs w:val="24"/>
        </w:rPr>
        <w:t xml:space="preserve">- </w:t>
      </w:r>
      <w:r w:rsidRPr="003653DF">
        <w:rPr>
          <w:rFonts w:ascii="Times New Roman" w:hAnsi="Times New Roman"/>
          <w:b/>
          <w:sz w:val="24"/>
          <w:szCs w:val="24"/>
        </w:rPr>
        <w:t>1,7</w:t>
      </w:r>
      <w:r w:rsidRPr="003653DF">
        <w:rPr>
          <w:rFonts w:ascii="Times New Roman" w:hAnsi="Times New Roman"/>
          <w:sz w:val="24"/>
          <w:szCs w:val="24"/>
        </w:rPr>
        <w:t xml:space="preserve"> млн.руб.</w:t>
      </w:r>
      <w:r w:rsidRPr="003653DF">
        <w:rPr>
          <w:rFonts w:ascii="Times New Roman" w:hAnsi="Times New Roman"/>
          <w:b/>
          <w:sz w:val="24"/>
          <w:szCs w:val="24"/>
        </w:rPr>
        <w:t xml:space="preserve"> </w:t>
      </w:r>
      <w:r w:rsidRPr="003653DF">
        <w:rPr>
          <w:rFonts w:ascii="Times New Roman" w:hAnsi="Times New Roman"/>
          <w:sz w:val="24"/>
          <w:szCs w:val="24"/>
        </w:rPr>
        <w:t>нецелевого использования бюджетных средств.</w:t>
      </w:r>
    </w:p>
    <w:p w:rsidR="00411E6B" w:rsidRPr="003653DF" w:rsidRDefault="00411E6B"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Кроме того, объем неэффективного использования бюджетных средств и имущества в финансовом выражении составил </w:t>
      </w:r>
      <w:r w:rsidRPr="003653DF">
        <w:rPr>
          <w:rFonts w:ascii="Times New Roman" w:hAnsi="Times New Roman"/>
          <w:b/>
          <w:sz w:val="24"/>
          <w:szCs w:val="24"/>
        </w:rPr>
        <w:t>7,9</w:t>
      </w:r>
      <w:r w:rsidRPr="003653DF">
        <w:rPr>
          <w:rFonts w:ascii="Times New Roman" w:hAnsi="Times New Roman"/>
          <w:sz w:val="24"/>
          <w:szCs w:val="24"/>
        </w:rPr>
        <w:t xml:space="preserve"> млн.руб.</w:t>
      </w:r>
    </w:p>
    <w:p w:rsidR="0067452E" w:rsidRPr="003653DF" w:rsidRDefault="0067452E" w:rsidP="009D76C5">
      <w:pPr>
        <w:spacing w:after="0" w:line="240" w:lineRule="auto"/>
        <w:ind w:firstLine="567"/>
        <w:jc w:val="both"/>
        <w:rPr>
          <w:rFonts w:ascii="Times New Roman" w:hAnsi="Times New Roman"/>
          <w:sz w:val="24"/>
          <w:szCs w:val="24"/>
        </w:rPr>
      </w:pPr>
    </w:p>
    <w:p w:rsidR="0067452E" w:rsidRPr="003653DF" w:rsidRDefault="0067452E"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 отчетном периоде Контрольно-счетной палатой для устранения выявленных нарушений и недостатков предпринимались все возможные, в рамках установленных полномочий, меры, а также меры по минимизации негативных последствий финансовых нарушений, возмещению причиненного бюджетам ущерба, возврату средств, использованных не по целевому назначению.</w:t>
      </w:r>
    </w:p>
    <w:p w:rsidR="0067452E" w:rsidRPr="003653DF" w:rsidRDefault="0067452E" w:rsidP="009D76C5">
      <w:pPr>
        <w:spacing w:after="0" w:line="240" w:lineRule="auto"/>
        <w:ind w:firstLine="567"/>
        <w:jc w:val="both"/>
        <w:rPr>
          <w:rFonts w:ascii="Times New Roman" w:hAnsi="Times New Roman"/>
          <w:b/>
          <w:sz w:val="24"/>
          <w:szCs w:val="24"/>
        </w:rPr>
      </w:pPr>
      <w:r w:rsidRPr="003653DF">
        <w:rPr>
          <w:rFonts w:ascii="Times New Roman" w:hAnsi="Times New Roman"/>
          <w:sz w:val="24"/>
          <w:szCs w:val="24"/>
        </w:rPr>
        <w:t xml:space="preserve">Для принятия мер по устранению нарушений, выявленных </w:t>
      </w:r>
      <w:r w:rsidRPr="003653DF">
        <w:rPr>
          <w:rFonts w:ascii="Times New Roman" w:hAnsi="Times New Roman"/>
          <w:sz w:val="24"/>
          <w:szCs w:val="24"/>
          <w:lang w:eastAsia="ru-RU"/>
        </w:rPr>
        <w:t>по итогам контрольных мероприятий,</w:t>
      </w:r>
      <w:r w:rsidRPr="003653DF">
        <w:rPr>
          <w:rFonts w:ascii="Times New Roman" w:hAnsi="Times New Roman"/>
          <w:sz w:val="24"/>
          <w:szCs w:val="24"/>
        </w:rPr>
        <w:t xml:space="preserve"> </w:t>
      </w:r>
      <w:r w:rsidRPr="003653DF">
        <w:rPr>
          <w:rFonts w:ascii="Times New Roman" w:hAnsi="Times New Roman"/>
          <w:sz w:val="24"/>
          <w:szCs w:val="24"/>
          <w:lang w:eastAsia="ru-RU"/>
        </w:rPr>
        <w:t>главным распорядителям средств областного бюджета и иным участникам бюджетного процесса, а также</w:t>
      </w:r>
      <w:r w:rsidRPr="003653DF">
        <w:rPr>
          <w:rFonts w:ascii="Times New Roman" w:hAnsi="Times New Roman"/>
          <w:sz w:val="24"/>
          <w:szCs w:val="24"/>
        </w:rPr>
        <w:t xml:space="preserve"> руководителям проверенных учреждений и организаций Контрольно-счетной палатой направлено</w:t>
      </w:r>
      <w:r w:rsidR="00FD5E4E" w:rsidRPr="003653DF">
        <w:rPr>
          <w:rFonts w:ascii="Times New Roman" w:hAnsi="Times New Roman"/>
          <w:sz w:val="24"/>
          <w:szCs w:val="24"/>
        </w:rPr>
        <w:t xml:space="preserve"> </w:t>
      </w:r>
      <w:r w:rsidR="00FD5E4E" w:rsidRPr="003653DF">
        <w:rPr>
          <w:rFonts w:ascii="Times New Roman" w:hAnsi="Times New Roman"/>
          <w:b/>
          <w:sz w:val="24"/>
          <w:szCs w:val="24"/>
        </w:rPr>
        <w:t>1 уведомление о применении бюджетных мер принуждения,</w:t>
      </w:r>
      <w:r w:rsidR="00FD5E4E" w:rsidRPr="003653DF">
        <w:rPr>
          <w:rFonts w:ascii="Times New Roman" w:hAnsi="Times New Roman"/>
          <w:sz w:val="24"/>
          <w:szCs w:val="24"/>
        </w:rPr>
        <w:t xml:space="preserve"> </w:t>
      </w:r>
      <w:r w:rsidR="00411E6B" w:rsidRPr="003653DF">
        <w:rPr>
          <w:rFonts w:ascii="Times New Roman" w:hAnsi="Times New Roman"/>
          <w:b/>
          <w:sz w:val="24"/>
          <w:szCs w:val="24"/>
        </w:rPr>
        <w:t>2</w:t>
      </w:r>
      <w:r w:rsidRPr="003653DF">
        <w:rPr>
          <w:rFonts w:ascii="Times New Roman" w:hAnsi="Times New Roman"/>
          <w:b/>
          <w:sz w:val="24"/>
          <w:szCs w:val="24"/>
        </w:rPr>
        <w:t>2</w:t>
      </w:r>
      <w:r w:rsidRPr="003653DF">
        <w:rPr>
          <w:rFonts w:ascii="Times New Roman" w:hAnsi="Times New Roman"/>
          <w:sz w:val="24"/>
          <w:szCs w:val="24"/>
        </w:rPr>
        <w:t xml:space="preserve"> </w:t>
      </w:r>
      <w:r w:rsidR="00411E6B" w:rsidRPr="003653DF">
        <w:rPr>
          <w:rFonts w:ascii="Times New Roman" w:hAnsi="Times New Roman"/>
          <w:b/>
          <w:sz w:val="24"/>
          <w:szCs w:val="24"/>
        </w:rPr>
        <w:t>представления</w:t>
      </w:r>
      <w:r w:rsidRPr="003653DF">
        <w:rPr>
          <w:rFonts w:ascii="Times New Roman" w:hAnsi="Times New Roman"/>
          <w:b/>
          <w:sz w:val="24"/>
          <w:szCs w:val="24"/>
        </w:rPr>
        <w:t xml:space="preserve"> </w:t>
      </w:r>
      <w:r w:rsidRPr="003653DF">
        <w:rPr>
          <w:rFonts w:ascii="Times New Roman" w:hAnsi="Times New Roman"/>
          <w:sz w:val="24"/>
          <w:szCs w:val="24"/>
        </w:rPr>
        <w:t xml:space="preserve">и </w:t>
      </w:r>
      <w:r w:rsidR="00411E6B" w:rsidRPr="003653DF">
        <w:rPr>
          <w:rFonts w:ascii="Times New Roman" w:hAnsi="Times New Roman"/>
          <w:b/>
          <w:sz w:val="24"/>
          <w:szCs w:val="24"/>
        </w:rPr>
        <w:t>23</w:t>
      </w:r>
      <w:r w:rsidRPr="003653DF">
        <w:rPr>
          <w:rFonts w:ascii="Times New Roman" w:hAnsi="Times New Roman"/>
          <w:b/>
          <w:sz w:val="24"/>
          <w:szCs w:val="24"/>
        </w:rPr>
        <w:t xml:space="preserve"> информационных пис</w:t>
      </w:r>
      <w:r w:rsidR="00411E6B" w:rsidRPr="003653DF">
        <w:rPr>
          <w:rFonts w:ascii="Times New Roman" w:hAnsi="Times New Roman"/>
          <w:b/>
          <w:sz w:val="24"/>
          <w:szCs w:val="24"/>
        </w:rPr>
        <w:t>ь</w:t>
      </w:r>
      <w:r w:rsidRPr="003653DF">
        <w:rPr>
          <w:rFonts w:ascii="Times New Roman" w:hAnsi="Times New Roman"/>
          <w:b/>
          <w:sz w:val="24"/>
          <w:szCs w:val="24"/>
        </w:rPr>
        <w:t>м</w:t>
      </w:r>
      <w:r w:rsidR="00411E6B" w:rsidRPr="003653DF">
        <w:rPr>
          <w:rFonts w:ascii="Times New Roman" w:hAnsi="Times New Roman"/>
          <w:b/>
          <w:sz w:val="24"/>
          <w:szCs w:val="24"/>
        </w:rPr>
        <w:t>а</w:t>
      </w:r>
      <w:r w:rsidRPr="003653DF">
        <w:rPr>
          <w:rFonts w:ascii="Times New Roman" w:hAnsi="Times New Roman"/>
          <w:sz w:val="24"/>
          <w:szCs w:val="24"/>
        </w:rPr>
        <w:t xml:space="preserve">. Все представления рассмотрены, исполнены или находятся на исполнении. По итогам рассмотрения представлений, а также в ходе мероприятий, на момент подготовки отчета восстановлены средства в сумме </w:t>
      </w:r>
      <w:r w:rsidR="00FD5E4E" w:rsidRPr="003653DF">
        <w:rPr>
          <w:rFonts w:ascii="Times New Roman" w:hAnsi="Times New Roman"/>
          <w:b/>
          <w:sz w:val="24"/>
          <w:szCs w:val="24"/>
        </w:rPr>
        <w:t>2,2</w:t>
      </w:r>
      <w:r w:rsidRPr="003653DF">
        <w:rPr>
          <w:rFonts w:ascii="Times New Roman" w:hAnsi="Times New Roman"/>
          <w:b/>
          <w:sz w:val="24"/>
          <w:szCs w:val="24"/>
        </w:rPr>
        <w:t xml:space="preserve"> млн.руб.</w:t>
      </w:r>
    </w:p>
    <w:p w:rsidR="0067452E" w:rsidRPr="003653DF" w:rsidRDefault="0067452E"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В отношении </w:t>
      </w:r>
      <w:r w:rsidR="00FD5E4E" w:rsidRPr="003653DF">
        <w:rPr>
          <w:rFonts w:ascii="Times New Roman" w:hAnsi="Times New Roman"/>
          <w:b/>
          <w:sz w:val="24"/>
          <w:szCs w:val="24"/>
        </w:rPr>
        <w:t>8</w:t>
      </w:r>
      <w:r w:rsidRPr="003653DF">
        <w:rPr>
          <w:rFonts w:ascii="Times New Roman" w:hAnsi="Times New Roman"/>
          <w:sz w:val="24"/>
          <w:szCs w:val="24"/>
        </w:rPr>
        <w:t xml:space="preserve"> должностных лиц и </w:t>
      </w:r>
      <w:r w:rsidR="00FD5E4E" w:rsidRPr="003653DF">
        <w:rPr>
          <w:rFonts w:ascii="Times New Roman" w:hAnsi="Times New Roman"/>
          <w:b/>
          <w:sz w:val="24"/>
          <w:szCs w:val="24"/>
        </w:rPr>
        <w:t>14</w:t>
      </w:r>
      <w:r w:rsidRPr="003653DF">
        <w:rPr>
          <w:rFonts w:ascii="Times New Roman" w:hAnsi="Times New Roman"/>
          <w:sz w:val="24"/>
          <w:szCs w:val="24"/>
        </w:rPr>
        <w:t xml:space="preserve"> юридических лиц аудиторами составлены протоколы об административных правонарушениях, при рассмотрении которых судами приняты решения о назначении административных штрафов на общую сумму </w:t>
      </w:r>
      <w:r w:rsidRPr="003653DF">
        <w:rPr>
          <w:rFonts w:ascii="Times New Roman" w:hAnsi="Times New Roman"/>
          <w:b/>
          <w:sz w:val="24"/>
          <w:szCs w:val="24"/>
        </w:rPr>
        <w:t>104</w:t>
      </w:r>
      <w:r w:rsidR="00FD5E4E" w:rsidRPr="003653DF">
        <w:rPr>
          <w:rFonts w:ascii="Times New Roman" w:hAnsi="Times New Roman"/>
          <w:b/>
          <w:sz w:val="24"/>
          <w:szCs w:val="24"/>
        </w:rPr>
        <w:t>,9</w:t>
      </w:r>
      <w:r w:rsidRPr="003653DF">
        <w:rPr>
          <w:rFonts w:ascii="Times New Roman" w:hAnsi="Times New Roman"/>
          <w:sz w:val="24"/>
          <w:szCs w:val="24"/>
        </w:rPr>
        <w:t xml:space="preserve"> тыс.руб.</w:t>
      </w:r>
    </w:p>
    <w:p w:rsidR="0067452E" w:rsidRPr="003653DF" w:rsidRDefault="0067452E" w:rsidP="009D76C5">
      <w:pPr>
        <w:spacing w:after="0" w:line="240" w:lineRule="auto"/>
        <w:ind w:firstLine="567"/>
        <w:jc w:val="both"/>
        <w:rPr>
          <w:rFonts w:ascii="Times New Roman" w:hAnsi="Times New Roman"/>
          <w:sz w:val="24"/>
          <w:szCs w:val="27"/>
          <w:shd w:val="clear" w:color="auto" w:fill="FFFFFF"/>
        </w:rPr>
      </w:pPr>
      <w:r w:rsidRPr="003653DF">
        <w:rPr>
          <w:rFonts w:ascii="Times New Roman" w:hAnsi="Times New Roman"/>
          <w:sz w:val="24"/>
          <w:szCs w:val="24"/>
        </w:rPr>
        <w:lastRenderedPageBreak/>
        <w:t xml:space="preserve">По результатам рассмотрения представлений Контрольно-счетной палаты </w:t>
      </w:r>
      <w:r w:rsidRPr="003653DF">
        <w:rPr>
          <w:rFonts w:ascii="Times New Roman" w:hAnsi="Times New Roman"/>
          <w:sz w:val="24"/>
          <w:szCs w:val="27"/>
          <w:shd w:val="clear" w:color="auto" w:fill="FFFFFF"/>
        </w:rPr>
        <w:t xml:space="preserve">к дисциплинарной ответственности привлечены </w:t>
      </w:r>
      <w:r w:rsidR="00FD5E4E" w:rsidRPr="003653DF">
        <w:rPr>
          <w:rFonts w:ascii="Times New Roman" w:hAnsi="Times New Roman"/>
          <w:b/>
          <w:sz w:val="24"/>
          <w:szCs w:val="27"/>
          <w:shd w:val="clear" w:color="auto" w:fill="FFFFFF"/>
        </w:rPr>
        <w:t>9</w:t>
      </w:r>
      <w:r w:rsidRPr="003653DF">
        <w:rPr>
          <w:rFonts w:ascii="Times New Roman" w:hAnsi="Times New Roman"/>
          <w:b/>
          <w:sz w:val="24"/>
          <w:szCs w:val="27"/>
          <w:shd w:val="clear" w:color="auto" w:fill="FFFFFF"/>
        </w:rPr>
        <w:t xml:space="preserve"> </w:t>
      </w:r>
      <w:r w:rsidRPr="003653DF">
        <w:rPr>
          <w:rFonts w:ascii="Times New Roman" w:hAnsi="Times New Roman"/>
          <w:sz w:val="24"/>
          <w:szCs w:val="27"/>
          <w:shd w:val="clear" w:color="auto" w:fill="FFFFFF"/>
        </w:rPr>
        <w:t xml:space="preserve">должностных лиц, </w:t>
      </w:r>
      <w:r w:rsidR="00FD5E4E" w:rsidRPr="003653DF">
        <w:rPr>
          <w:rFonts w:ascii="Times New Roman" w:hAnsi="Times New Roman"/>
          <w:b/>
          <w:sz w:val="24"/>
          <w:szCs w:val="27"/>
          <w:shd w:val="clear" w:color="auto" w:fill="FFFFFF"/>
        </w:rPr>
        <w:t>1</w:t>
      </w:r>
      <w:r w:rsidR="00FD5E4E" w:rsidRPr="003653DF">
        <w:rPr>
          <w:rFonts w:ascii="Times New Roman" w:hAnsi="Times New Roman"/>
          <w:sz w:val="24"/>
          <w:szCs w:val="27"/>
          <w:shd w:val="clear" w:color="auto" w:fill="FFFFFF"/>
        </w:rPr>
        <w:t xml:space="preserve"> должностное лицо уволено</w:t>
      </w:r>
      <w:r w:rsidRPr="003653DF">
        <w:rPr>
          <w:rFonts w:ascii="Times New Roman" w:hAnsi="Times New Roman"/>
          <w:sz w:val="24"/>
          <w:szCs w:val="27"/>
          <w:shd w:val="clear" w:color="auto" w:fill="FFFFFF"/>
        </w:rPr>
        <w:t>.</w:t>
      </w:r>
    </w:p>
    <w:p w:rsidR="0067452E" w:rsidRDefault="0067452E"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По результатам проведенного аудита в правоохранительные органы направлено </w:t>
      </w:r>
      <w:r w:rsidR="00FD5E4E" w:rsidRPr="003653DF">
        <w:rPr>
          <w:rFonts w:ascii="Times New Roman" w:hAnsi="Times New Roman"/>
          <w:b/>
          <w:sz w:val="24"/>
          <w:szCs w:val="24"/>
        </w:rPr>
        <w:t>5</w:t>
      </w:r>
      <w:r w:rsidRPr="003653DF">
        <w:rPr>
          <w:rFonts w:ascii="Times New Roman" w:hAnsi="Times New Roman"/>
          <w:b/>
          <w:sz w:val="24"/>
          <w:szCs w:val="24"/>
        </w:rPr>
        <w:t xml:space="preserve"> </w:t>
      </w:r>
      <w:r w:rsidRPr="003653DF">
        <w:rPr>
          <w:rFonts w:ascii="Times New Roman" w:hAnsi="Times New Roman"/>
          <w:sz w:val="24"/>
          <w:szCs w:val="24"/>
        </w:rPr>
        <w:t xml:space="preserve">материалов, по итогам рассмотрения которых прокуратурой внесено </w:t>
      </w:r>
      <w:r w:rsidR="00FD5E4E" w:rsidRPr="003653DF">
        <w:rPr>
          <w:rFonts w:ascii="Times New Roman" w:hAnsi="Times New Roman"/>
          <w:b/>
          <w:sz w:val="24"/>
          <w:szCs w:val="24"/>
        </w:rPr>
        <w:t>6</w:t>
      </w:r>
      <w:r w:rsidRPr="003653DF">
        <w:rPr>
          <w:rFonts w:ascii="Times New Roman" w:hAnsi="Times New Roman"/>
          <w:b/>
          <w:sz w:val="24"/>
          <w:szCs w:val="24"/>
        </w:rPr>
        <w:t xml:space="preserve"> </w:t>
      </w:r>
      <w:r w:rsidRPr="003653DF">
        <w:rPr>
          <w:rFonts w:ascii="Times New Roman" w:hAnsi="Times New Roman"/>
          <w:sz w:val="24"/>
          <w:szCs w:val="24"/>
        </w:rPr>
        <w:t>представлений</w:t>
      </w:r>
      <w:r w:rsidR="00FD5E4E" w:rsidRPr="003653DF">
        <w:rPr>
          <w:rFonts w:ascii="Times New Roman" w:hAnsi="Times New Roman"/>
          <w:sz w:val="24"/>
          <w:szCs w:val="24"/>
        </w:rPr>
        <w:t xml:space="preserve"> и протестов</w:t>
      </w:r>
      <w:r w:rsidRPr="003653DF">
        <w:rPr>
          <w:rFonts w:ascii="Times New Roman" w:hAnsi="Times New Roman"/>
          <w:sz w:val="24"/>
          <w:szCs w:val="24"/>
        </w:rPr>
        <w:t>.</w:t>
      </w:r>
    </w:p>
    <w:p w:rsidR="003B372C" w:rsidRPr="003653DF" w:rsidRDefault="003B372C" w:rsidP="009D76C5">
      <w:pPr>
        <w:spacing w:after="0" w:line="240" w:lineRule="auto"/>
        <w:ind w:firstLine="567"/>
        <w:jc w:val="both"/>
        <w:rPr>
          <w:rStyle w:val="a5"/>
          <w:rFonts w:ascii="Times New Roman" w:hAnsi="Times New Roman"/>
          <w:i w:val="0"/>
          <w:color w:val="auto"/>
          <w:sz w:val="24"/>
        </w:rPr>
      </w:pPr>
      <w:r>
        <w:rPr>
          <w:rFonts w:ascii="Times New Roman" w:hAnsi="Times New Roman"/>
          <w:sz w:val="24"/>
          <w:szCs w:val="24"/>
        </w:rPr>
        <w:t>Каждый отчет (заключение) подготовленный по результатам мероприятий рассматривался на Совете Законодательной Думы Томской области.</w:t>
      </w:r>
    </w:p>
    <w:p w:rsidR="009D76C5" w:rsidRDefault="009D76C5" w:rsidP="009D76C5">
      <w:pPr>
        <w:spacing w:after="0" w:line="240" w:lineRule="auto"/>
        <w:ind w:firstLine="567"/>
        <w:jc w:val="both"/>
        <w:rPr>
          <w:rFonts w:ascii="Times New Roman" w:hAnsi="Times New Roman" w:cs="Times New Roman"/>
          <w:sz w:val="24"/>
          <w:szCs w:val="24"/>
        </w:rPr>
      </w:pPr>
    </w:p>
    <w:p w:rsidR="00280281" w:rsidRPr="003653DF" w:rsidRDefault="00280281" w:rsidP="009D76C5">
      <w:pPr>
        <w:spacing w:after="0" w:line="240" w:lineRule="auto"/>
        <w:ind w:firstLine="567"/>
        <w:jc w:val="both"/>
        <w:rPr>
          <w:rFonts w:ascii="Times New Roman" w:hAnsi="Times New Roman" w:cs="Times New Roman"/>
          <w:sz w:val="24"/>
          <w:szCs w:val="24"/>
        </w:rPr>
      </w:pPr>
      <w:r w:rsidRPr="003653DF">
        <w:rPr>
          <w:rFonts w:ascii="Times New Roman" w:hAnsi="Times New Roman" w:cs="Times New Roman"/>
          <w:sz w:val="24"/>
          <w:szCs w:val="24"/>
        </w:rPr>
        <w:t>Контрольно-счетная палата Томской области как постоянно действующий орган внешнего государственного финансового контроля в Томской области осуществляла свою деятельность в 2023 году в форме:</w:t>
      </w:r>
    </w:p>
    <w:p w:rsidR="00280281" w:rsidRPr="003653DF" w:rsidRDefault="00280281" w:rsidP="009D76C5">
      <w:pPr>
        <w:spacing w:after="0" w:line="240" w:lineRule="auto"/>
        <w:jc w:val="both"/>
        <w:rPr>
          <w:rFonts w:ascii="Times New Roman" w:hAnsi="Times New Roman" w:cs="Times New Roman"/>
          <w:sz w:val="24"/>
          <w:szCs w:val="24"/>
        </w:rPr>
      </w:pPr>
      <w:r w:rsidRPr="003653DF">
        <w:rPr>
          <w:rFonts w:ascii="Times New Roman" w:hAnsi="Times New Roman" w:cs="Times New Roman"/>
          <w:b/>
          <w:bCs/>
          <w:sz w:val="24"/>
          <w:szCs w:val="24"/>
        </w:rPr>
        <w:t>- Предварительного контроля</w:t>
      </w:r>
      <w:r w:rsidRPr="003653DF">
        <w:rPr>
          <w:rFonts w:ascii="Times New Roman" w:hAnsi="Times New Roman" w:cs="Times New Roman"/>
          <w:sz w:val="24"/>
          <w:szCs w:val="24"/>
        </w:rPr>
        <w:t>, в рамках которого проведены такие экспертно-аналитические мероприятия</w:t>
      </w:r>
      <w:r w:rsidR="003B372C">
        <w:rPr>
          <w:rFonts w:ascii="Times New Roman" w:hAnsi="Times New Roman" w:cs="Times New Roman"/>
          <w:sz w:val="24"/>
          <w:szCs w:val="24"/>
        </w:rPr>
        <w:t>,</w:t>
      </w:r>
      <w:r w:rsidRPr="003653DF">
        <w:rPr>
          <w:rFonts w:ascii="Times New Roman" w:hAnsi="Times New Roman" w:cs="Times New Roman"/>
          <w:sz w:val="24"/>
          <w:szCs w:val="24"/>
        </w:rPr>
        <w:t xml:space="preserve"> как:</w:t>
      </w:r>
    </w:p>
    <w:p w:rsidR="00280281" w:rsidRPr="003653DF" w:rsidRDefault="00280281"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szCs w:val="24"/>
        </w:rPr>
        <w:t>- «Подготовка заключения на проект закона Томской области «Об областном бюджете на 2024 год и на плановый период 2025 и 2026 годов» к двум чтениям,</w:t>
      </w:r>
    </w:p>
    <w:p w:rsidR="00280281" w:rsidRPr="003653DF" w:rsidRDefault="00280281"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szCs w:val="24"/>
        </w:rPr>
        <w:t>- «Подготовка заключения на проект закона Томской области «О бюджете Территориального фонда обязательного медицинского страхования Томской области на 2024 год и на плановый период 2025 и 2026 годов» к двум чтениям,</w:t>
      </w:r>
    </w:p>
    <w:p w:rsidR="00280281" w:rsidRPr="003653DF" w:rsidRDefault="00280281"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szCs w:val="24"/>
        </w:rPr>
        <w:t>- «Подготовка заключения на проект постановления Законодательной Думы Томской области «О прогнозном плане (программе) приватизации государственного имущества Томской области на плановый период 2024-2026 годов»,</w:t>
      </w:r>
    </w:p>
    <w:p w:rsidR="00280281" w:rsidRPr="003653DF" w:rsidRDefault="00280281"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szCs w:val="24"/>
        </w:rPr>
        <w:t>- заключение на проекты нормативных правовых актов (28).</w:t>
      </w:r>
    </w:p>
    <w:p w:rsidR="00280281" w:rsidRPr="003653DF" w:rsidRDefault="00280281" w:rsidP="009D76C5">
      <w:pPr>
        <w:spacing w:after="0" w:line="240" w:lineRule="auto"/>
        <w:jc w:val="both"/>
        <w:rPr>
          <w:rFonts w:ascii="Times New Roman" w:hAnsi="Times New Roman" w:cs="Times New Roman"/>
          <w:sz w:val="24"/>
          <w:szCs w:val="24"/>
        </w:rPr>
      </w:pPr>
      <w:r w:rsidRPr="003653DF">
        <w:rPr>
          <w:rFonts w:ascii="Times New Roman" w:hAnsi="Times New Roman" w:cs="Times New Roman"/>
          <w:b/>
          <w:bCs/>
          <w:sz w:val="24"/>
          <w:szCs w:val="24"/>
        </w:rPr>
        <w:t>- Текущего контроля</w:t>
      </w:r>
      <w:r w:rsidRPr="003653DF">
        <w:rPr>
          <w:rFonts w:ascii="Times New Roman" w:hAnsi="Times New Roman" w:cs="Times New Roman"/>
          <w:sz w:val="24"/>
          <w:szCs w:val="24"/>
        </w:rPr>
        <w:t>, в рамках которого проведено 3 экспертно-аналитических мероприятия «Проведение оперативного анализа исполнения и контроля за организацией исполнения областного бюджета и бюджета Территориального фонда обязательного медицинского страхования Томской области в текущем финансовом году».</w:t>
      </w:r>
    </w:p>
    <w:p w:rsidR="00280281" w:rsidRPr="003653DF" w:rsidRDefault="00280281" w:rsidP="009D76C5">
      <w:pPr>
        <w:spacing w:after="0" w:line="240" w:lineRule="auto"/>
        <w:jc w:val="both"/>
        <w:rPr>
          <w:rFonts w:ascii="Times New Roman" w:hAnsi="Times New Roman" w:cs="Times New Roman"/>
          <w:sz w:val="24"/>
          <w:szCs w:val="24"/>
        </w:rPr>
      </w:pPr>
      <w:r w:rsidRPr="003653DF">
        <w:rPr>
          <w:rFonts w:ascii="Times New Roman" w:hAnsi="Times New Roman" w:cs="Times New Roman"/>
          <w:b/>
          <w:bCs/>
          <w:sz w:val="24"/>
          <w:szCs w:val="24"/>
        </w:rPr>
        <w:t>- Последующего контроля</w:t>
      </w:r>
      <w:r w:rsidRPr="003653DF">
        <w:rPr>
          <w:rFonts w:ascii="Times New Roman" w:hAnsi="Times New Roman" w:cs="Times New Roman"/>
          <w:sz w:val="24"/>
          <w:szCs w:val="24"/>
        </w:rPr>
        <w:t xml:space="preserve">, в рамках которого проведены такие </w:t>
      </w:r>
      <w:r w:rsidRPr="003653DF">
        <w:rPr>
          <w:rFonts w:ascii="Times New Roman" w:hAnsi="Times New Roman" w:cs="Times New Roman"/>
          <w:i/>
          <w:iCs/>
          <w:sz w:val="24"/>
          <w:szCs w:val="24"/>
        </w:rPr>
        <w:t>экспертно-аналитические мероприятия</w:t>
      </w:r>
      <w:r w:rsidR="003B372C">
        <w:rPr>
          <w:rFonts w:ascii="Times New Roman" w:hAnsi="Times New Roman" w:cs="Times New Roman"/>
          <w:i/>
          <w:iCs/>
          <w:sz w:val="24"/>
          <w:szCs w:val="24"/>
        </w:rPr>
        <w:t>,</w:t>
      </w:r>
      <w:r w:rsidRPr="003653DF">
        <w:rPr>
          <w:rFonts w:ascii="Times New Roman" w:hAnsi="Times New Roman" w:cs="Times New Roman"/>
          <w:i/>
          <w:iCs/>
          <w:sz w:val="24"/>
          <w:szCs w:val="24"/>
        </w:rPr>
        <w:t xml:space="preserve"> </w:t>
      </w:r>
      <w:r w:rsidRPr="003653DF">
        <w:rPr>
          <w:rFonts w:ascii="Times New Roman" w:hAnsi="Times New Roman" w:cs="Times New Roman"/>
          <w:sz w:val="24"/>
          <w:szCs w:val="24"/>
        </w:rPr>
        <w:t>как:</w:t>
      </w:r>
    </w:p>
    <w:p w:rsidR="00280281" w:rsidRPr="003653DF" w:rsidRDefault="00280281"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szCs w:val="24"/>
        </w:rPr>
        <w:t xml:space="preserve">- Экспертиза и подготовка заключения на отчет Администрации Томской области о </w:t>
      </w:r>
      <w:r w:rsidR="00075D94" w:rsidRPr="003653DF">
        <w:rPr>
          <w:rFonts w:ascii="Times New Roman" w:hAnsi="Times New Roman" w:cs="Times New Roman"/>
          <w:sz w:val="24"/>
          <w:szCs w:val="24"/>
        </w:rPr>
        <w:t>результатах управления</w:t>
      </w:r>
      <w:r w:rsidRPr="003653DF">
        <w:rPr>
          <w:rFonts w:ascii="Times New Roman" w:hAnsi="Times New Roman" w:cs="Times New Roman"/>
          <w:sz w:val="24"/>
          <w:szCs w:val="24"/>
        </w:rPr>
        <w:t xml:space="preserve"> и распоряжения областным государственным имуществом за 2022 год,</w:t>
      </w:r>
    </w:p>
    <w:p w:rsidR="00280281" w:rsidRPr="003653DF" w:rsidRDefault="00280281"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szCs w:val="24"/>
        </w:rPr>
        <w:t>- Экспертиза и подготовка заключения на отчет Администрации Томской области об аренде и безвозмездном пользовании областным государственным имуществом за 2022 год,</w:t>
      </w:r>
    </w:p>
    <w:p w:rsidR="00280281" w:rsidRPr="003653DF" w:rsidRDefault="00280281"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szCs w:val="24"/>
        </w:rPr>
        <w:t>- Экспертиза и подготовка заключения на отчет Администрации Томской области о деятельности областных государственных унитарных предприятий за 2022 год,</w:t>
      </w:r>
    </w:p>
    <w:p w:rsidR="00280281" w:rsidRPr="003653DF" w:rsidRDefault="00280281"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szCs w:val="24"/>
        </w:rPr>
        <w:t>- Экспертиза и подготовка заключения на отчет Администрации Томской области о выполнении прогнозного плана (программы) приватизации государственного имущества Томской области за 2022 год,</w:t>
      </w:r>
    </w:p>
    <w:p w:rsidR="00280281" w:rsidRPr="003653DF" w:rsidRDefault="00280281"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szCs w:val="24"/>
        </w:rPr>
        <w:t xml:space="preserve">- Анализ влияния результатов проведенной кадастровой оценки земельных участков, расположенных </w:t>
      </w:r>
      <w:r w:rsidR="004D2593" w:rsidRPr="003653DF">
        <w:rPr>
          <w:rFonts w:ascii="Times New Roman" w:hAnsi="Times New Roman" w:cs="Times New Roman"/>
          <w:sz w:val="24"/>
          <w:szCs w:val="24"/>
        </w:rPr>
        <w:t xml:space="preserve">на территории Томской области, </w:t>
      </w:r>
      <w:r w:rsidRPr="003653DF">
        <w:rPr>
          <w:rFonts w:ascii="Times New Roman" w:hAnsi="Times New Roman" w:cs="Times New Roman"/>
          <w:sz w:val="24"/>
          <w:szCs w:val="24"/>
        </w:rPr>
        <w:t>на доходы консолидированного бюджета Томской области,</w:t>
      </w:r>
    </w:p>
    <w:p w:rsidR="00280281" w:rsidRPr="003653DF" w:rsidRDefault="00280281"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szCs w:val="24"/>
        </w:rPr>
        <w:t>- Анализ исполнения плановых назначений по доходам в областной бюджет по транспортному налогу,</w:t>
      </w:r>
    </w:p>
    <w:p w:rsidR="00280281" w:rsidRPr="003653DF" w:rsidRDefault="00280281"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szCs w:val="24"/>
        </w:rPr>
        <w:t>- Анализ результатов исполнения по состоянию на 1 августа 2023 года рекомендаций по проведению организационных мероприятий по инвентаризации и выявлению пользователей объектов недвижимости без регистрации прав на эти объекты, по уточнению  отсутствующих характеристик объектов, необходимых  для принятия  на налоговый учет, обозначенных в отчете о результатах экспертно-аналитического мероприятия «Анализ по</w:t>
      </w:r>
      <w:r w:rsidR="004D2593" w:rsidRPr="003653DF">
        <w:rPr>
          <w:rFonts w:ascii="Times New Roman" w:hAnsi="Times New Roman" w:cs="Times New Roman"/>
          <w:sz w:val="24"/>
          <w:szCs w:val="24"/>
        </w:rPr>
        <w:t xml:space="preserve">ступлений в консолидированный </w:t>
      </w:r>
      <w:r w:rsidRPr="003653DF">
        <w:rPr>
          <w:rFonts w:ascii="Times New Roman" w:hAnsi="Times New Roman" w:cs="Times New Roman"/>
          <w:sz w:val="24"/>
          <w:szCs w:val="24"/>
        </w:rPr>
        <w:t>бюджет Томской  области от налога на  имущество физических лиц</w:t>
      </w:r>
      <w:r w:rsidR="004D2593" w:rsidRPr="003653DF">
        <w:rPr>
          <w:rFonts w:ascii="Times New Roman" w:hAnsi="Times New Roman" w:cs="Times New Roman"/>
          <w:sz w:val="24"/>
          <w:szCs w:val="24"/>
        </w:rPr>
        <w:t xml:space="preserve"> в </w:t>
      </w:r>
      <w:r w:rsidRPr="003653DF">
        <w:rPr>
          <w:rFonts w:ascii="Times New Roman" w:hAnsi="Times New Roman" w:cs="Times New Roman"/>
          <w:sz w:val="24"/>
          <w:szCs w:val="24"/>
        </w:rPr>
        <w:t>целях оценки достаточности и обоснованности финансовой поддержки бюджетов муниципальных образований, предоставляемой за счет средств областного бюджета», проведенного в 2022 году,</w:t>
      </w:r>
    </w:p>
    <w:p w:rsidR="00280281" w:rsidRPr="003653DF" w:rsidRDefault="00280281"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szCs w:val="24"/>
        </w:rPr>
        <w:t>- Экспертиза государственной программы Томской области «Эффективное управление государственным имуществом Томской области».</w:t>
      </w:r>
    </w:p>
    <w:p w:rsidR="00280281" w:rsidRPr="003653DF" w:rsidRDefault="00280281" w:rsidP="009D76C5">
      <w:pPr>
        <w:spacing w:after="0" w:line="240" w:lineRule="auto"/>
        <w:ind w:firstLine="284"/>
        <w:jc w:val="both"/>
        <w:rPr>
          <w:rFonts w:ascii="Times New Roman" w:hAnsi="Times New Roman" w:cs="Times New Roman"/>
          <w:sz w:val="24"/>
          <w:szCs w:val="24"/>
        </w:rPr>
      </w:pPr>
      <w:r w:rsidRPr="003653DF">
        <w:rPr>
          <w:rFonts w:ascii="Times New Roman" w:hAnsi="Times New Roman" w:cs="Times New Roman"/>
          <w:sz w:val="24"/>
          <w:szCs w:val="24"/>
        </w:rPr>
        <w:t xml:space="preserve">А также </w:t>
      </w:r>
      <w:r w:rsidRPr="003653DF">
        <w:rPr>
          <w:rFonts w:ascii="Times New Roman" w:hAnsi="Times New Roman" w:cs="Times New Roman"/>
          <w:i/>
          <w:iCs/>
          <w:sz w:val="24"/>
          <w:szCs w:val="24"/>
        </w:rPr>
        <w:t>контрольные мероприятия</w:t>
      </w:r>
      <w:r w:rsidRPr="003653DF">
        <w:rPr>
          <w:rFonts w:ascii="Times New Roman" w:hAnsi="Times New Roman" w:cs="Times New Roman"/>
          <w:sz w:val="24"/>
          <w:szCs w:val="24"/>
        </w:rPr>
        <w:t>, в ходе проведения которых проанализирована реализация 12 государственных программ Томской области.</w:t>
      </w:r>
    </w:p>
    <w:p w:rsidR="00280281" w:rsidRPr="003653DF" w:rsidRDefault="00280281" w:rsidP="009D76C5">
      <w:pPr>
        <w:spacing w:after="0" w:line="240" w:lineRule="auto"/>
        <w:jc w:val="both"/>
        <w:rPr>
          <w:rFonts w:ascii="Times New Roman" w:hAnsi="Times New Roman" w:cs="Times New Roman"/>
          <w:sz w:val="24"/>
          <w:szCs w:val="24"/>
        </w:rPr>
      </w:pPr>
    </w:p>
    <w:p w:rsidR="00A27667" w:rsidRPr="003653DF" w:rsidRDefault="00A27667" w:rsidP="009D76C5">
      <w:pPr>
        <w:shd w:val="clear" w:color="auto" w:fill="FFFFFF"/>
        <w:spacing w:after="0" w:line="240" w:lineRule="auto"/>
        <w:jc w:val="both"/>
        <w:rPr>
          <w:rFonts w:ascii="Times New Roman" w:hAnsi="Times New Roman"/>
          <w:b/>
          <w:spacing w:val="6"/>
          <w:sz w:val="24"/>
          <w:szCs w:val="24"/>
        </w:rPr>
      </w:pPr>
      <w:r w:rsidRPr="003653DF">
        <w:rPr>
          <w:rFonts w:ascii="Times New Roman" w:hAnsi="Times New Roman"/>
          <w:b/>
          <w:spacing w:val="6"/>
          <w:sz w:val="24"/>
          <w:szCs w:val="24"/>
        </w:rPr>
        <w:t xml:space="preserve">Экспертно-аналитическое мероприятие «Заключение Контрольно-счетной палаты Томской области на проект закона Томской области «Об исполнении </w:t>
      </w:r>
      <w:r w:rsidRPr="003653DF">
        <w:rPr>
          <w:rFonts w:ascii="Times New Roman" w:hAnsi="Times New Roman"/>
          <w:b/>
          <w:sz w:val="24"/>
          <w:szCs w:val="24"/>
        </w:rPr>
        <w:t>областного бюджета за 2022 год»</w:t>
      </w:r>
    </w:p>
    <w:p w:rsidR="00A27667" w:rsidRPr="003653DF" w:rsidRDefault="00A27667" w:rsidP="009D76C5">
      <w:pPr>
        <w:shd w:val="clear" w:color="auto" w:fill="FFFFFF"/>
        <w:spacing w:after="0" w:line="240" w:lineRule="auto"/>
        <w:ind w:right="-81" w:firstLine="567"/>
        <w:jc w:val="both"/>
        <w:rPr>
          <w:rFonts w:ascii="Times New Roman" w:hAnsi="Times New Roman"/>
          <w:sz w:val="24"/>
          <w:szCs w:val="24"/>
          <w:lang w:eastAsia="ru-RU"/>
        </w:rPr>
      </w:pPr>
      <w:r w:rsidRPr="003653DF">
        <w:rPr>
          <w:rFonts w:ascii="Times New Roman" w:hAnsi="Times New Roman"/>
          <w:sz w:val="24"/>
          <w:szCs w:val="24"/>
          <w:lang w:eastAsia="ru-RU"/>
        </w:rPr>
        <w:t>По итогам мероприятия подтверждена достоверность данных, представленных в проекте закона Томской области «Об исполнении областного бюджета за 2022 год».</w:t>
      </w:r>
    </w:p>
    <w:p w:rsidR="00A27667" w:rsidRPr="003653DF" w:rsidRDefault="00A27667" w:rsidP="009D76C5">
      <w:pPr>
        <w:spacing w:after="0" w:line="240" w:lineRule="auto"/>
        <w:ind w:firstLine="567"/>
        <w:jc w:val="both"/>
        <w:rPr>
          <w:rFonts w:ascii="Times New Roman" w:hAnsi="Times New Roman" w:cs="Times New Roman"/>
          <w:sz w:val="24"/>
          <w:szCs w:val="24"/>
        </w:rPr>
      </w:pPr>
      <w:r w:rsidRPr="003653DF">
        <w:rPr>
          <w:rFonts w:ascii="Times New Roman" w:hAnsi="Times New Roman"/>
          <w:sz w:val="24"/>
          <w:szCs w:val="24"/>
          <w:lang w:eastAsia="ru-RU"/>
        </w:rPr>
        <w:t xml:space="preserve">За </w:t>
      </w:r>
      <w:r w:rsidRPr="003653DF">
        <w:rPr>
          <w:rFonts w:ascii="Times New Roman" w:hAnsi="Times New Roman"/>
          <w:sz w:val="24"/>
          <w:szCs w:val="24"/>
        </w:rPr>
        <w:t>2022 год в областной бюджет поступило доходов 95,6 млрд.руб., или 105,4 % от суммы, утвержденной Законом «Об областном бюджете на 2022 год…» (в 2020-2021 годах исполнение доходов составляло 95,7% и 97,6% соответственно). При этом доля безвозмездных поступлений в областном бюджете продолжает снижаться, составив 31,6% (2020 год -  40,5%, 2021 год - 35,6%).</w:t>
      </w:r>
    </w:p>
    <w:p w:rsidR="00F66B4E" w:rsidRPr="003653DF" w:rsidRDefault="00F66B4E"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Обеспечен прирост поступлений налоговых и неналоговых доходов областного бюджета в сравнении с доходами 2021 года на 9,7 млрд. руб. или 17,5%. Поступления по налогу на прибыль организаций от ответственных участников консолидированных групп налогоплательщиков в 2022 году выросли к уровню 2021 года на 50% или на 2,5 млрд.руб.</w:t>
      </w:r>
      <w:r w:rsidR="00D967B2" w:rsidRPr="003653DF">
        <w:rPr>
          <w:rFonts w:ascii="Times New Roman" w:hAnsi="Times New Roman"/>
          <w:sz w:val="24"/>
          <w:szCs w:val="24"/>
        </w:rPr>
        <w:t xml:space="preserve"> Д</w:t>
      </w:r>
      <w:r w:rsidRPr="003653DF">
        <w:rPr>
          <w:rFonts w:ascii="Times New Roman" w:hAnsi="Times New Roman"/>
          <w:sz w:val="24"/>
          <w:szCs w:val="24"/>
        </w:rPr>
        <w:t xml:space="preserve">ополнительно </w:t>
      </w:r>
      <w:r w:rsidR="00D967B2" w:rsidRPr="003653DF">
        <w:rPr>
          <w:rFonts w:ascii="Times New Roman" w:hAnsi="Times New Roman"/>
          <w:sz w:val="24"/>
          <w:szCs w:val="24"/>
        </w:rPr>
        <w:t xml:space="preserve">получено </w:t>
      </w:r>
      <w:r w:rsidRPr="003653DF">
        <w:rPr>
          <w:rFonts w:ascii="Times New Roman" w:hAnsi="Times New Roman"/>
          <w:sz w:val="24"/>
          <w:szCs w:val="24"/>
        </w:rPr>
        <w:t>525 млн.руб. по налогу, взимаемому в связи с применением упрощенной системы налогообложения.</w:t>
      </w:r>
      <w:r w:rsidR="00D967B2" w:rsidRPr="003653DF">
        <w:rPr>
          <w:rFonts w:ascii="Times New Roman" w:hAnsi="Times New Roman"/>
          <w:sz w:val="24"/>
          <w:szCs w:val="24"/>
        </w:rPr>
        <w:t xml:space="preserve"> </w:t>
      </w:r>
      <w:r w:rsidRPr="003653DF">
        <w:rPr>
          <w:rFonts w:ascii="Times New Roman" w:hAnsi="Times New Roman"/>
          <w:sz w:val="24"/>
          <w:szCs w:val="24"/>
        </w:rPr>
        <w:t>Значительно перевыполнен план по плате за использование лесов – фактические поступления превысили прогнозные назначения на 66% или на 401 млн.руб. (план 610 млн.руб., факт 1011 млн.руб.).</w:t>
      </w:r>
    </w:p>
    <w:p w:rsidR="004A683D" w:rsidRPr="003653DF" w:rsidRDefault="00F66B4E" w:rsidP="009D76C5">
      <w:pPr>
        <w:spacing w:after="0" w:line="240" w:lineRule="auto"/>
        <w:ind w:firstLine="567"/>
        <w:jc w:val="both"/>
        <w:rPr>
          <w:rFonts w:ascii="Times New Roman" w:hAnsi="Times New Roman" w:cs="Times New Roman"/>
          <w:sz w:val="24"/>
          <w:szCs w:val="24"/>
        </w:rPr>
      </w:pPr>
      <w:r w:rsidRPr="003653DF">
        <w:rPr>
          <w:rFonts w:ascii="Times New Roman" w:eastAsia="Times New Roman" w:hAnsi="Times New Roman"/>
          <w:sz w:val="24"/>
          <w:szCs w:val="24"/>
          <w:lang w:eastAsia="ru-RU"/>
        </w:rPr>
        <w:t>Согласно данным бухгалтерской отчетности и проекту Закона Томской области «Об исполнении областного бюджета за 2022 год» областной бюджет за 2022 год исполнен с профицитом в размере 2</w:t>
      </w:r>
      <w:r w:rsidR="00D967B2" w:rsidRPr="003653DF">
        <w:rPr>
          <w:rFonts w:ascii="Times New Roman" w:eastAsia="Times New Roman" w:hAnsi="Times New Roman"/>
          <w:sz w:val="24"/>
          <w:szCs w:val="24"/>
          <w:lang w:eastAsia="ru-RU"/>
        </w:rPr>
        <w:t>,</w:t>
      </w:r>
      <w:r w:rsidRPr="003653DF">
        <w:rPr>
          <w:rFonts w:ascii="Times New Roman" w:eastAsia="Times New Roman" w:hAnsi="Times New Roman"/>
          <w:sz w:val="24"/>
          <w:szCs w:val="24"/>
          <w:lang w:eastAsia="ru-RU"/>
        </w:rPr>
        <w:t>2 мл</w:t>
      </w:r>
      <w:r w:rsidR="00D967B2" w:rsidRPr="003653DF">
        <w:rPr>
          <w:rFonts w:ascii="Times New Roman" w:eastAsia="Times New Roman" w:hAnsi="Times New Roman"/>
          <w:sz w:val="24"/>
          <w:szCs w:val="24"/>
          <w:lang w:eastAsia="ru-RU"/>
        </w:rPr>
        <w:t>рд</w:t>
      </w:r>
      <w:r w:rsidRPr="003653DF">
        <w:rPr>
          <w:rFonts w:ascii="Times New Roman" w:eastAsia="Times New Roman" w:hAnsi="Times New Roman"/>
          <w:sz w:val="24"/>
          <w:szCs w:val="24"/>
          <w:lang w:eastAsia="ru-RU"/>
        </w:rPr>
        <w:t xml:space="preserve">.руб., при плановом дефиците (-) 639,07 млн.руб.  </w:t>
      </w:r>
    </w:p>
    <w:p w:rsidR="004A683D" w:rsidRPr="003653DF" w:rsidRDefault="00D967B2" w:rsidP="009D76C5">
      <w:pPr>
        <w:spacing w:after="0" w:line="240" w:lineRule="auto"/>
        <w:ind w:firstLine="567"/>
        <w:jc w:val="both"/>
        <w:rPr>
          <w:rFonts w:ascii="Times New Roman" w:hAnsi="Times New Roman" w:cs="Times New Roman"/>
          <w:sz w:val="24"/>
          <w:szCs w:val="24"/>
        </w:rPr>
      </w:pPr>
      <w:r w:rsidRPr="003653DF">
        <w:rPr>
          <w:rFonts w:ascii="Times New Roman" w:eastAsia="Times New Roman" w:hAnsi="Times New Roman"/>
          <w:sz w:val="24"/>
          <w:szCs w:val="24"/>
          <w:lang w:eastAsia="ru-RU"/>
        </w:rPr>
        <w:t xml:space="preserve">По итогам 2022 года Томская область не выполнила одно из обязательств, предусмотренных </w:t>
      </w:r>
      <w:r w:rsidRPr="003653DF">
        <w:rPr>
          <w:rFonts w:ascii="Times New Roman" w:hAnsi="Times New Roman"/>
          <w:sz w:val="24"/>
          <w:szCs w:val="24"/>
        </w:rPr>
        <w:t>постановлением Правительства РФ от 13.12.2017 № 1531 «О проведении в 2017 году реструктуризации обязательств (задолженности) субъектов Российской Федерации по бюджетным кредитам», а именно: «На 01 января 2023 года доля общего объема государственного долга субъекта Российской Федерации составит не более 57 процентов суммы доходов бюджета субъекта Российской Федерации без учета безвозмездных поступлений за 2022 год», д</w:t>
      </w:r>
      <w:r w:rsidRPr="003653DF">
        <w:rPr>
          <w:rFonts w:ascii="Times New Roman" w:eastAsia="Times New Roman" w:hAnsi="Times New Roman"/>
          <w:sz w:val="24"/>
          <w:szCs w:val="24"/>
          <w:lang w:eastAsia="ru-RU"/>
        </w:rPr>
        <w:t>олговая нагрузка за 2022 год составила 75,3%. При этом удалось снизить объем государственного долга Томской области с 87%, имевшихся по состоянию на конец 2021 года.</w:t>
      </w:r>
    </w:p>
    <w:p w:rsidR="00D967B2" w:rsidRPr="003653DF" w:rsidRDefault="00D967B2" w:rsidP="009D76C5">
      <w:pPr>
        <w:autoSpaceDE w:val="0"/>
        <w:autoSpaceDN w:val="0"/>
        <w:adjustRightInd w:val="0"/>
        <w:spacing w:after="0" w:line="240" w:lineRule="auto"/>
        <w:ind w:firstLine="567"/>
        <w:jc w:val="both"/>
        <w:rPr>
          <w:rFonts w:ascii="Times New Roman" w:hAnsi="Times New Roman"/>
          <w:szCs w:val="24"/>
        </w:rPr>
      </w:pPr>
      <w:r w:rsidRPr="003653DF">
        <w:rPr>
          <w:rFonts w:ascii="Times New Roman" w:hAnsi="Times New Roman"/>
          <w:sz w:val="24"/>
          <w:szCs w:val="24"/>
        </w:rPr>
        <w:t>В 2022 году завершено строительство (реконструкция и проектирование) 19 объектов (с учетом 7 жилых домов в составе 1 объекта), на которые были направлены бюджетные средства в общей сумме 732,6 млн.руб., в том числе 248,8 млн.руб. - средства областного бюджета. По отношению к 2021 году наблюдается увеличение объема расходов на завершенные объекты.</w:t>
      </w:r>
    </w:p>
    <w:p w:rsidR="00D967B2" w:rsidRPr="003653DF" w:rsidRDefault="00D967B2" w:rsidP="009D76C5">
      <w:pPr>
        <w:autoSpaceDE w:val="0"/>
        <w:autoSpaceDN w:val="0"/>
        <w:adjustRightInd w:val="0"/>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Объем вложений в объекты незавершенного строительства по состоянию на 01.01.2023 составил 14 226,2 млн.руб., впервые за период мониторинга уменьшившись за 2022 год - на 635,1 млн.руб., при этом сокращение достигнуто муниципальными образованиями. </w:t>
      </w:r>
    </w:p>
    <w:p w:rsidR="00D967B2" w:rsidRPr="003653DF" w:rsidRDefault="00D967B2"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Структура расходов областного бюджета в 2022 году, как и в предыдущие годы, представлена наибольшим удельным весом расходов на социальную сферу – 66,0 %, при этом в истекшем году зафиксировано его снижение (2019 год – 66,3 %, 2020 год – 67,4 %, 2021 год – 67,5 %). Распределение областного бюджета в пользу расходов на образование, социальную политику, здравоохранение, в размере 66% общего объема расходов свидетельствует и приоритетности направлений бюджетной политики Томской области на 2022 год, обеспечивших в том числе выполнение принятых социальных обязательств.</w:t>
      </w:r>
    </w:p>
    <w:p w:rsidR="004A683D" w:rsidRPr="003653DF" w:rsidRDefault="004A683D" w:rsidP="009D76C5">
      <w:pPr>
        <w:spacing w:after="0" w:line="240" w:lineRule="auto"/>
        <w:jc w:val="both"/>
        <w:rPr>
          <w:rFonts w:ascii="Times New Roman" w:hAnsi="Times New Roman" w:cs="Times New Roman"/>
          <w:sz w:val="24"/>
          <w:szCs w:val="24"/>
        </w:rPr>
      </w:pPr>
    </w:p>
    <w:p w:rsidR="004A683D" w:rsidRPr="003653DF" w:rsidRDefault="00D967B2" w:rsidP="009D76C5">
      <w:pPr>
        <w:spacing w:after="0" w:line="240" w:lineRule="auto"/>
        <w:jc w:val="both"/>
        <w:rPr>
          <w:rFonts w:ascii="Times New Roman" w:hAnsi="Times New Roman" w:cs="Times New Roman"/>
          <w:b/>
          <w:szCs w:val="24"/>
        </w:rPr>
      </w:pPr>
      <w:r w:rsidRPr="003653DF">
        <w:rPr>
          <w:rFonts w:ascii="Times New Roman" w:hAnsi="Times New Roman"/>
          <w:b/>
          <w:spacing w:val="6"/>
          <w:sz w:val="24"/>
          <w:szCs w:val="24"/>
        </w:rPr>
        <w:t>Экспертно-аналитическое мероприятие «</w:t>
      </w:r>
      <w:r w:rsidRPr="003653DF">
        <w:rPr>
          <w:rFonts w:ascii="Times New Roman" w:hAnsi="Times New Roman" w:cs="Times New Roman"/>
          <w:b/>
          <w:sz w:val="24"/>
          <w:szCs w:val="26"/>
        </w:rPr>
        <w:t>Внешняя проверка Отчета об исполнении бюджета Территориального фонда обязательного медицинского страхования Томской области за 2022 год»</w:t>
      </w:r>
    </w:p>
    <w:p w:rsidR="004D2593" w:rsidRPr="003653DF" w:rsidRDefault="00D967B2"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Бюджет Территориального фонда обязательного медицинского страхования Томской области (далее - ТФОМС) на 2022 год при запланированном дефиците 1 171,3 млн.руб. согласно Закону о бюджете ТФОМС (сводной бюджетной росписи бюджета) исполнен с дефицитом в сумме 547,4 млн.руб. Остаток средств бюджета ТФОМС на конец года планировался в сумме 82,0 млн.руб., фактически неиспользованный остаток средств составил 705,9 млн.руб.</w:t>
      </w:r>
    </w:p>
    <w:p w:rsidR="00AD6C09" w:rsidRPr="003653DF" w:rsidRDefault="00AD6C09"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 январе 2023 года в Федеральный фонд ОМС из остатков неиспользованных средств в сумме 555,9 млн.руб. подтверждена потребность в средствах субвенции в сумме 522,5 млн.руб., которые были перечислены в феврале 2023 года Федеральным фондом ОМС в бюджет ТФОМС на завершение расчетов за медицинскую помощь, оказанную в 2022 году.</w:t>
      </w:r>
    </w:p>
    <w:p w:rsidR="004D2593" w:rsidRPr="003653DF" w:rsidRDefault="00AD6C09"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Доходы бюджета ТФОМС за 2022 год составили 21 297,9 млн.руб. или 100,1% от объема доходов, утвержденного согласно Закону о бюджете ТФОМС и сводной бюджетной росписи бюджета ТФОМС.</w:t>
      </w:r>
    </w:p>
    <w:p w:rsidR="00AD6C09" w:rsidRPr="003653DF" w:rsidRDefault="00AD6C09"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Расходная часть бюджета ТФОМС исполнена в сумме 21 845,3 млн.руб. или 97,3% от объема, утвержденного согласно сводной бюджетной росписи бюджета ТФОМС, из которых основную долю 20 802,9 млн.руб. составляют расходы на выполнение территориальной программы ОМС - оказание бесплатной медицинской помощи гражданам в рамках областной программы ОМС государственной программы Томской области «Развитие здравоохранения в Томской области»</w:t>
      </w:r>
      <w:r w:rsidR="004E183C" w:rsidRPr="003653DF">
        <w:rPr>
          <w:rFonts w:ascii="Times New Roman" w:hAnsi="Times New Roman"/>
          <w:sz w:val="24"/>
          <w:szCs w:val="24"/>
        </w:rPr>
        <w:t>.</w:t>
      </w:r>
    </w:p>
    <w:p w:rsidR="00AD6C09" w:rsidRPr="003653DF" w:rsidRDefault="004E183C"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 целом по итогам мероприятия подтверждена достоверность данных, представленных Администрацией Томской области в проекте закона Томской области «Об исполнении бюджета Территориального фонда обязательного медицинского страхования Томской области за 2022 год»</w:t>
      </w:r>
    </w:p>
    <w:p w:rsidR="004E183C" w:rsidRPr="003653DF" w:rsidRDefault="004E183C" w:rsidP="009D76C5">
      <w:pPr>
        <w:spacing w:after="0" w:line="240" w:lineRule="auto"/>
        <w:ind w:firstLine="567"/>
        <w:jc w:val="both"/>
        <w:rPr>
          <w:rFonts w:ascii="Times New Roman" w:hAnsi="Times New Roman"/>
          <w:sz w:val="24"/>
          <w:szCs w:val="24"/>
        </w:rPr>
      </w:pPr>
    </w:p>
    <w:p w:rsidR="00A037DC" w:rsidRPr="003653DF" w:rsidRDefault="00A037DC" w:rsidP="009D76C5">
      <w:pPr>
        <w:spacing w:after="0" w:line="240" w:lineRule="auto"/>
        <w:jc w:val="both"/>
        <w:rPr>
          <w:rFonts w:ascii="Times New Roman" w:hAnsi="Times New Roman"/>
          <w:sz w:val="24"/>
          <w:szCs w:val="24"/>
        </w:rPr>
      </w:pPr>
      <w:r w:rsidRPr="003653DF">
        <w:rPr>
          <w:rFonts w:ascii="Times New Roman" w:hAnsi="Times New Roman" w:cs="Times New Roman"/>
          <w:b/>
          <w:sz w:val="24"/>
          <w:szCs w:val="26"/>
        </w:rPr>
        <w:t>Экспертно-аналитическое мероприятие «Подготовка заключения на проект закона Томской области «Об областном бюджете на 2024 год и на плановый период 2025 и 2026 годов»</w:t>
      </w:r>
    </w:p>
    <w:p w:rsidR="00A037DC" w:rsidRPr="003653DF" w:rsidRDefault="00E002BD"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Документы и материалы, представленные вместе с проектом бюджета, в основном соответствуют перечню, установленному статьей 184.2 Бюджетного кодекса РФ.</w:t>
      </w:r>
    </w:p>
    <w:p w:rsidR="006E158A" w:rsidRPr="003653DF" w:rsidRDefault="00E002BD"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Сравнительный анализ показателей, отраженных в Прогнозе социально-экономического развития Томской области на период 2024-2026 </w:t>
      </w:r>
      <w:r w:rsidR="009A0682" w:rsidRPr="003653DF">
        <w:rPr>
          <w:rFonts w:ascii="Times New Roman" w:hAnsi="Times New Roman"/>
          <w:sz w:val="24"/>
          <w:szCs w:val="24"/>
        </w:rPr>
        <w:t>годов показывает</w:t>
      </w:r>
      <w:r w:rsidRPr="003653DF">
        <w:rPr>
          <w:rFonts w:ascii="Times New Roman" w:hAnsi="Times New Roman"/>
          <w:sz w:val="24"/>
          <w:szCs w:val="24"/>
        </w:rPr>
        <w:t xml:space="preserve">, что некоторые из них не достигают значений, утвержденных на планируемый период в Стратегии социально-экономического развития Томской области до 2030 года и Прогнозе социально-экономического развития Томской области на долгосрочный период до 2036 года. </w:t>
      </w:r>
    </w:p>
    <w:p w:rsidR="00E002BD" w:rsidRPr="003653DF" w:rsidRDefault="00E002BD"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Анализ доходной части проекта бюджета, в том числе по источникам консолидированного бюджета, показал возможность прогнозирования по ряду источников (в частности, НДФЛ, акцизы, доходы от использования лесов) в несколько </w:t>
      </w:r>
      <w:proofErr w:type="spellStart"/>
      <w:r w:rsidRPr="003653DF">
        <w:rPr>
          <w:rFonts w:ascii="Times New Roman" w:hAnsi="Times New Roman"/>
          <w:sz w:val="24"/>
          <w:szCs w:val="24"/>
        </w:rPr>
        <w:t>бОльших</w:t>
      </w:r>
      <w:proofErr w:type="spellEnd"/>
      <w:r w:rsidRPr="003653DF">
        <w:rPr>
          <w:rFonts w:ascii="Times New Roman" w:hAnsi="Times New Roman"/>
          <w:sz w:val="24"/>
          <w:szCs w:val="24"/>
        </w:rPr>
        <w:t xml:space="preserve"> значениях, чем предусмотрено в проекте. Одновременно не найдено оснований подтвердить предлагаемую сумму поступлений от</w:t>
      </w:r>
      <w:r w:rsidR="006E158A" w:rsidRPr="003653DF">
        <w:rPr>
          <w:rFonts w:ascii="Times New Roman" w:hAnsi="Times New Roman"/>
          <w:sz w:val="24"/>
          <w:szCs w:val="24"/>
        </w:rPr>
        <w:t xml:space="preserve"> налога на прибыль организаций.</w:t>
      </w:r>
    </w:p>
    <w:p w:rsidR="00E002BD" w:rsidRPr="003653DF" w:rsidRDefault="009A0682"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Анализ факторов, влияющих на увеличение доходов бюджета от использования имущества, находящегося в государственной собственности, свидетельствует о наличии резервов, связанных, в том числе, с повышением качества управления компаниями с государственным участием, а также с повышением достоверности принимаемых перспективных планов и программ финансово-хозяйственной деятельности унитарных предприятий и хозяйственных обществ с государственным участием.</w:t>
      </w:r>
    </w:p>
    <w:p w:rsidR="009A0682" w:rsidRPr="003653DF" w:rsidRDefault="009A0682"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Структура расходов областного бюджета на 2024-2026 годы в разрезе пяти стратегических целей социально-экономического развития Томской области сохранила социальную направленность областного бюджета. На достижение социальной цели «Повышение уровня и качества жизни населения на всей территории Томской области, накопление человеческого капитала» доля расходов на реализацию 8 государственных программ составила в законопроекте 70%, 66%, 64% соответственно, из которых основная доля расходов приходится на 3 госпрограммы: ГП «Развитие образования в Томской области» (30%, 28% и 27% соответственно), ГП «Развитие здравоохранения в Томской области» (17%, 17% и 16%) и ГП «Социальная поддержка населения Томской области» (16%, 15% и 14%).</w:t>
      </w:r>
    </w:p>
    <w:p w:rsidR="009A0682" w:rsidRPr="003653DF" w:rsidRDefault="009A0682"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При проведении отбора объектов капитального строительства в проекте бюджета учтена приоритетность финансирования переходящих объектов, на которые направляется 91% от общего объема инвестиций. Выделяемых бюджетных инвестиций достаточно, чтобы в 2024 году и в плановый период 2025 и 2026 годов завершить строительство 37 объектов из 43, учтенных в законопроекте, из них завершение 5 объектов возможно в случае своевременного завершения проектных работ.</w:t>
      </w:r>
    </w:p>
    <w:p w:rsidR="009A0682" w:rsidRPr="003653DF" w:rsidRDefault="009A0682"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Требования бюджетного законодательства по сбаланси</w:t>
      </w:r>
      <w:r w:rsidR="006E158A" w:rsidRPr="003653DF">
        <w:rPr>
          <w:rFonts w:ascii="Times New Roman" w:hAnsi="Times New Roman"/>
          <w:sz w:val="24"/>
          <w:szCs w:val="24"/>
        </w:rPr>
        <w:t xml:space="preserve">рованности областного бюджета, </w:t>
      </w:r>
      <w:r w:rsidRPr="003653DF">
        <w:rPr>
          <w:rFonts w:ascii="Times New Roman" w:hAnsi="Times New Roman"/>
          <w:sz w:val="24"/>
          <w:szCs w:val="24"/>
        </w:rPr>
        <w:t xml:space="preserve">параметрам государственного долга и соблюдению </w:t>
      </w:r>
      <w:r w:rsidR="006E158A" w:rsidRPr="003653DF">
        <w:rPr>
          <w:rFonts w:ascii="Times New Roman" w:hAnsi="Times New Roman"/>
          <w:sz w:val="24"/>
          <w:szCs w:val="24"/>
        </w:rPr>
        <w:t>условий реструктуризации</w:t>
      </w:r>
      <w:r w:rsidRPr="003653DF">
        <w:rPr>
          <w:rFonts w:ascii="Times New Roman" w:hAnsi="Times New Roman"/>
          <w:sz w:val="24"/>
          <w:szCs w:val="24"/>
        </w:rPr>
        <w:t xml:space="preserve"> обязательств (задолженности) Томской области перед Российской Федерацией по бюджетным кредитам на 2024 год и на плановый период 2025 и 2026 годов в проекте бюджета соблюдены.</w:t>
      </w:r>
    </w:p>
    <w:p w:rsidR="009A0682" w:rsidRPr="003653DF" w:rsidRDefault="009A0682"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Представленный законопроект предусматривает сохранение положительной динамики по снижению долговой нагрузки, которая на </w:t>
      </w:r>
      <w:r w:rsidR="006E158A" w:rsidRPr="003653DF">
        <w:rPr>
          <w:rFonts w:ascii="Times New Roman" w:hAnsi="Times New Roman"/>
          <w:sz w:val="24"/>
          <w:szCs w:val="24"/>
        </w:rPr>
        <w:t>дату проведения мероприятия</w:t>
      </w:r>
      <w:r w:rsidRPr="003653DF">
        <w:rPr>
          <w:rFonts w:ascii="Times New Roman" w:hAnsi="Times New Roman"/>
          <w:sz w:val="24"/>
          <w:szCs w:val="24"/>
        </w:rPr>
        <w:t xml:space="preserve"> составляет 63,6%, а по итогу 2026 года должна достичь 52%, что соответствует требованиям постановления Правительства РФ от 13.12.2017 № 1531 «О проведении в 2017 году реструктуризации обязательств …» и приведет к уменьшению государственного долга Томской области за период 2022-2026 годы на 6,1 млрд.руб. - с 49,2 млрд.руб. до 43,1 млрд.руб.</w:t>
      </w:r>
    </w:p>
    <w:p w:rsidR="006E158A" w:rsidRPr="003653DF" w:rsidRDefault="006E158A"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lang w:eastAsia="ru-RU"/>
        </w:rPr>
        <w:t xml:space="preserve">Законопроект в целом соответствует требованиям бюджетного законодательства и может </w:t>
      </w:r>
      <w:r w:rsidRPr="003653DF">
        <w:rPr>
          <w:rFonts w:ascii="Times New Roman" w:hAnsi="Times New Roman"/>
          <w:sz w:val="24"/>
          <w:szCs w:val="24"/>
        </w:rPr>
        <w:t>быть принят в первом чтении.</w:t>
      </w:r>
    </w:p>
    <w:p w:rsidR="006E158A" w:rsidRPr="003653DF" w:rsidRDefault="006E158A"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По итогам рассмотрения законопроекта ко второму чтению отмечено следующее.</w:t>
      </w:r>
    </w:p>
    <w:p w:rsidR="006E158A" w:rsidRPr="003653DF" w:rsidRDefault="006E158A"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Верхние пределы государственного внутреннего долга Томской области на 2024-2026 годы, а также источники внутреннего финансирования дефицита областного бюджета на 2024 год и на плановый период 2025 и 2026 годов (приложение 5 к законопроекту), не изменились по сравнению с принятыми в первом чтении. </w:t>
      </w:r>
    </w:p>
    <w:p w:rsidR="006E158A" w:rsidRPr="003653DF" w:rsidRDefault="006E158A"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Увеличение сумм доходов областного бюджета на 2024 год (за счет увеличения суммы безвозмездных поступлений ко второму чтению), повлекло внесение изменений в Программу государственных внутренних заимствований (приложение 6 к законопроекту) - увеличились объемы привлечения (+ 1</w:t>
      </w:r>
      <w:r w:rsidR="00F34BDE" w:rsidRPr="003653DF">
        <w:rPr>
          <w:rFonts w:ascii="Times New Roman" w:hAnsi="Times New Roman"/>
          <w:sz w:val="24"/>
          <w:szCs w:val="24"/>
        </w:rPr>
        <w:t> </w:t>
      </w:r>
      <w:r w:rsidRPr="003653DF">
        <w:rPr>
          <w:rFonts w:ascii="Times New Roman" w:hAnsi="Times New Roman"/>
          <w:sz w:val="24"/>
          <w:szCs w:val="24"/>
        </w:rPr>
        <w:t>870</w:t>
      </w:r>
      <w:r w:rsidR="00F34BDE" w:rsidRPr="003653DF">
        <w:rPr>
          <w:rFonts w:ascii="Times New Roman" w:hAnsi="Times New Roman"/>
          <w:sz w:val="24"/>
          <w:szCs w:val="24"/>
        </w:rPr>
        <w:t>,</w:t>
      </w:r>
      <w:r w:rsidRPr="003653DF">
        <w:rPr>
          <w:rFonts w:ascii="Times New Roman" w:hAnsi="Times New Roman"/>
          <w:sz w:val="24"/>
          <w:szCs w:val="24"/>
        </w:rPr>
        <w:t xml:space="preserve">074 </w:t>
      </w:r>
      <w:r w:rsidR="00F34BDE" w:rsidRPr="003653DF">
        <w:rPr>
          <w:rFonts w:ascii="Times New Roman" w:hAnsi="Times New Roman"/>
          <w:sz w:val="24"/>
          <w:szCs w:val="24"/>
        </w:rPr>
        <w:t>млн</w:t>
      </w:r>
      <w:r w:rsidRPr="003653DF">
        <w:rPr>
          <w:rFonts w:ascii="Times New Roman" w:hAnsi="Times New Roman"/>
          <w:sz w:val="24"/>
          <w:szCs w:val="24"/>
        </w:rPr>
        <w:t>.руб.) и погашения (+ 1</w:t>
      </w:r>
      <w:r w:rsidR="00F34BDE" w:rsidRPr="003653DF">
        <w:rPr>
          <w:rFonts w:ascii="Times New Roman" w:hAnsi="Times New Roman"/>
          <w:sz w:val="24"/>
          <w:szCs w:val="24"/>
        </w:rPr>
        <w:t> </w:t>
      </w:r>
      <w:r w:rsidRPr="003653DF">
        <w:rPr>
          <w:rFonts w:ascii="Times New Roman" w:hAnsi="Times New Roman"/>
          <w:sz w:val="24"/>
          <w:szCs w:val="24"/>
        </w:rPr>
        <w:t>870</w:t>
      </w:r>
      <w:r w:rsidR="00F34BDE" w:rsidRPr="003653DF">
        <w:rPr>
          <w:rFonts w:ascii="Times New Roman" w:hAnsi="Times New Roman"/>
          <w:sz w:val="24"/>
          <w:szCs w:val="24"/>
        </w:rPr>
        <w:t>,</w:t>
      </w:r>
      <w:r w:rsidRPr="003653DF">
        <w:rPr>
          <w:rFonts w:ascii="Times New Roman" w:hAnsi="Times New Roman"/>
          <w:sz w:val="24"/>
          <w:szCs w:val="24"/>
        </w:rPr>
        <w:t xml:space="preserve">074 </w:t>
      </w:r>
      <w:r w:rsidR="00F34BDE" w:rsidRPr="003653DF">
        <w:rPr>
          <w:rFonts w:ascii="Times New Roman" w:hAnsi="Times New Roman"/>
          <w:sz w:val="24"/>
          <w:szCs w:val="24"/>
        </w:rPr>
        <w:t>млн</w:t>
      </w:r>
      <w:r w:rsidRPr="003653DF">
        <w:rPr>
          <w:rFonts w:ascii="Times New Roman" w:hAnsi="Times New Roman"/>
          <w:sz w:val="24"/>
          <w:szCs w:val="24"/>
        </w:rPr>
        <w:t>.руб.) бюджетных кредитов на пополнение остатка средств на едином счете бюджета, которые рассчитываются в размере, не превышающем одной двенадцатой утвержденного законом о бюджете на соответствующий финансовый год объема доходов бюджета субъекта РФ (п.2 ст.93.6 Бюджетного кодекса РФ).</w:t>
      </w:r>
    </w:p>
    <w:p w:rsidR="006E158A" w:rsidRPr="003653DF" w:rsidRDefault="006E158A"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Долговая нагрузка на 2024-2026 годы ко второму чтению не изменилась и соответствует условиям, которые предусмотрены соглашениями о реструктуризации бюджетных кредитов, заключенными с Министерством финансов РФ. </w:t>
      </w:r>
    </w:p>
    <w:p w:rsidR="006E158A" w:rsidRPr="003653DF" w:rsidRDefault="006E158A" w:rsidP="009D76C5">
      <w:pPr>
        <w:spacing w:after="0" w:line="240" w:lineRule="auto"/>
        <w:jc w:val="both"/>
        <w:rPr>
          <w:rFonts w:ascii="Times New Roman" w:hAnsi="Times New Roman"/>
          <w:sz w:val="24"/>
          <w:szCs w:val="24"/>
        </w:rPr>
      </w:pPr>
    </w:p>
    <w:p w:rsidR="00A037DC" w:rsidRPr="003653DF" w:rsidRDefault="00A037DC" w:rsidP="009D76C5">
      <w:pPr>
        <w:spacing w:after="0" w:line="240" w:lineRule="auto"/>
        <w:jc w:val="both"/>
        <w:rPr>
          <w:rFonts w:ascii="Times New Roman" w:hAnsi="Times New Roman" w:cs="Times New Roman"/>
          <w:b/>
          <w:szCs w:val="24"/>
        </w:rPr>
      </w:pPr>
      <w:r w:rsidRPr="003653DF">
        <w:rPr>
          <w:rFonts w:ascii="Times New Roman" w:hAnsi="Times New Roman" w:cs="Times New Roman"/>
          <w:b/>
          <w:sz w:val="24"/>
          <w:szCs w:val="26"/>
        </w:rPr>
        <w:t>Экспертно-аналитическое мероприятие «Подготовка заключения на проект закона Томской области «О бюджете Территориального фонда обязательного медицинского страхования Томской области на 2024 год и на плановый период 2025 и 2026 годов»</w:t>
      </w:r>
    </w:p>
    <w:p w:rsidR="0090606D" w:rsidRPr="003653DF" w:rsidRDefault="0090606D"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Проект закона о бюджете Территориального фонда обязательного медицинского страхования Томской области (далее - ТФОМС) разработан в соответствии с действующим законодательством и согласован 15.09.2023 Правлением ТФОМС.</w:t>
      </w:r>
    </w:p>
    <w:p w:rsidR="0090606D" w:rsidRPr="003653DF" w:rsidRDefault="0090606D"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Бюджет ТФОМС на 2024 год и на плановый период 2025 и 2026 годов запланирован без дефицита (профицита). </w:t>
      </w:r>
    </w:p>
    <w:p w:rsidR="00A037DC" w:rsidRPr="003653DF" w:rsidRDefault="0090606D"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Доходная часть бюджета Территориального фонда обязательного медицинского страхования Томской области на 2024 год предусматривает поступления в общем объеме 24 478,2 млн.руб. или 105,2% к плану 2023 года, из них доходы на финансирование территориальной программы обязательного медицинского страхования запланированы в сумме 23 422,7 млн.руб. или 105,3% к плану 2023 года.</w:t>
      </w:r>
    </w:p>
    <w:p w:rsidR="0090606D" w:rsidRPr="003653DF" w:rsidRDefault="0090606D"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Расходная часть бюджета ТФОМС на 2024 год представлена расходами на общую сумму 24 478,2 млн.руб. или 102,4% от плана 2023 года (больше на 574,7 млн.руб.), из них:</w:t>
      </w:r>
    </w:p>
    <w:p w:rsidR="0090606D" w:rsidRPr="003653DF" w:rsidRDefault="0090606D" w:rsidP="009D76C5">
      <w:pPr>
        <w:spacing w:after="0" w:line="240" w:lineRule="auto"/>
        <w:ind w:left="284"/>
        <w:jc w:val="both"/>
        <w:rPr>
          <w:rFonts w:ascii="Times New Roman" w:hAnsi="Times New Roman"/>
          <w:sz w:val="24"/>
          <w:szCs w:val="24"/>
        </w:rPr>
      </w:pPr>
      <w:r w:rsidRPr="003653DF">
        <w:rPr>
          <w:rFonts w:ascii="Times New Roman" w:hAnsi="Times New Roman"/>
          <w:sz w:val="24"/>
          <w:szCs w:val="24"/>
        </w:rPr>
        <w:t>- на финансирование территориальной программы ОМС - 23 422,7 млн.руб.,</w:t>
      </w:r>
    </w:p>
    <w:p w:rsidR="0090606D" w:rsidRPr="003653DF" w:rsidRDefault="0090606D" w:rsidP="009D76C5">
      <w:pPr>
        <w:spacing w:after="0" w:line="240" w:lineRule="auto"/>
        <w:ind w:left="284"/>
        <w:jc w:val="both"/>
        <w:rPr>
          <w:rFonts w:ascii="Times New Roman" w:hAnsi="Times New Roman"/>
          <w:sz w:val="24"/>
          <w:szCs w:val="24"/>
        </w:rPr>
      </w:pPr>
      <w:r w:rsidRPr="003653DF">
        <w:rPr>
          <w:rFonts w:ascii="Times New Roman" w:hAnsi="Times New Roman"/>
          <w:sz w:val="24"/>
          <w:szCs w:val="24"/>
        </w:rPr>
        <w:t>- на осуществление ТФОМС управленческих функций - 131,9 млн.руб.,</w:t>
      </w:r>
    </w:p>
    <w:p w:rsidR="0090606D" w:rsidRPr="003653DF" w:rsidRDefault="0090606D" w:rsidP="009D76C5">
      <w:pPr>
        <w:spacing w:after="0" w:line="240" w:lineRule="auto"/>
        <w:ind w:left="284"/>
        <w:jc w:val="both"/>
        <w:rPr>
          <w:rFonts w:ascii="Times New Roman" w:hAnsi="Times New Roman"/>
          <w:sz w:val="24"/>
          <w:szCs w:val="24"/>
        </w:rPr>
      </w:pPr>
      <w:r w:rsidRPr="003653DF">
        <w:rPr>
          <w:rFonts w:ascii="Times New Roman" w:hAnsi="Times New Roman"/>
          <w:sz w:val="24"/>
          <w:szCs w:val="24"/>
        </w:rPr>
        <w:t>- на оплату за лечение в медицинских организациях Томской области граждан, застрахованных на территории других субъектов РФ - 886,4 млн.руб.,</w:t>
      </w:r>
    </w:p>
    <w:p w:rsidR="00A037DC" w:rsidRPr="003653DF" w:rsidRDefault="0090606D" w:rsidP="009D76C5">
      <w:pPr>
        <w:spacing w:after="0" w:line="240" w:lineRule="auto"/>
        <w:ind w:left="284"/>
        <w:jc w:val="both"/>
        <w:rPr>
          <w:rFonts w:ascii="Times New Roman" w:hAnsi="Times New Roman"/>
          <w:sz w:val="24"/>
          <w:szCs w:val="24"/>
        </w:rPr>
      </w:pPr>
      <w:r w:rsidRPr="003653DF">
        <w:rPr>
          <w:rFonts w:ascii="Times New Roman" w:hAnsi="Times New Roman"/>
          <w:sz w:val="24"/>
          <w:szCs w:val="24"/>
        </w:rPr>
        <w:t>-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- 37,2 млн.руб.</w:t>
      </w:r>
    </w:p>
    <w:p w:rsidR="00A27667" w:rsidRPr="003653DF" w:rsidRDefault="0090606D"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В ходе мероприятия не рассматривались доходы и расходы бюджета ТФОМС на плановый период 2025-2026 годов в связи с тем, что их объемы потребуют уточнения после принятия проекта Федерального закона «О бюджете Федерального фонда обязательного медицинского </w:t>
      </w:r>
      <w:r w:rsidR="002D2BB6" w:rsidRPr="003653DF">
        <w:rPr>
          <w:rFonts w:ascii="Times New Roman" w:hAnsi="Times New Roman"/>
          <w:sz w:val="24"/>
          <w:szCs w:val="24"/>
        </w:rPr>
        <w:t>страхования на</w:t>
      </w:r>
      <w:r w:rsidRPr="003653DF">
        <w:rPr>
          <w:rFonts w:ascii="Times New Roman" w:hAnsi="Times New Roman"/>
          <w:sz w:val="24"/>
          <w:szCs w:val="24"/>
        </w:rPr>
        <w:t xml:space="preserve"> 2024 год…».</w:t>
      </w:r>
    </w:p>
    <w:p w:rsidR="0090606D" w:rsidRPr="003653DF" w:rsidRDefault="0090606D"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Проект закона может быть принят в 1 чтении и доработан с учетом проекта Федерального закона «О бюджете Федерального фонда обязательного медицинского </w:t>
      </w:r>
      <w:r w:rsidR="002D2BB6" w:rsidRPr="003653DF">
        <w:rPr>
          <w:rFonts w:ascii="Times New Roman" w:hAnsi="Times New Roman"/>
          <w:sz w:val="24"/>
          <w:szCs w:val="24"/>
        </w:rPr>
        <w:t>страхования на</w:t>
      </w:r>
      <w:r w:rsidRPr="003653DF">
        <w:rPr>
          <w:rFonts w:ascii="Times New Roman" w:hAnsi="Times New Roman"/>
          <w:sz w:val="24"/>
          <w:szCs w:val="24"/>
        </w:rPr>
        <w:t xml:space="preserve"> 2024 год…» и замечаний по статье 6 проекта закона, изложенных в заключении, в период работы согласительной комиссии.</w:t>
      </w:r>
    </w:p>
    <w:p w:rsidR="002D2BB6" w:rsidRPr="003653DF" w:rsidRDefault="002D2BB6" w:rsidP="009D76C5">
      <w:pPr>
        <w:tabs>
          <w:tab w:val="left" w:pos="540"/>
          <w:tab w:val="left" w:pos="567"/>
        </w:tabs>
        <w:spacing w:after="0" w:line="240" w:lineRule="auto"/>
        <w:ind w:firstLine="567"/>
        <w:jc w:val="both"/>
        <w:rPr>
          <w:rFonts w:ascii="Times New Roman" w:hAnsi="Times New Roman"/>
          <w:sz w:val="24"/>
          <w:szCs w:val="24"/>
        </w:rPr>
      </w:pPr>
      <w:r w:rsidRPr="003653DF">
        <w:rPr>
          <w:rFonts w:ascii="Times New Roman" w:hAnsi="Times New Roman"/>
          <w:sz w:val="24"/>
          <w:szCs w:val="24"/>
        </w:rPr>
        <w:t>Представленный проект закона о бюджете ТФОМС к рассмотрению во 2 чтении доработан с учетом Федерального закона «О бюджете</w:t>
      </w:r>
      <w:r w:rsidRPr="003653DF">
        <w:rPr>
          <w:rFonts w:ascii="Times New Roman" w:hAnsi="Times New Roman"/>
          <w:iCs/>
          <w:sz w:val="24"/>
          <w:szCs w:val="24"/>
        </w:rPr>
        <w:t xml:space="preserve"> Федерального фонда обязательного медицинского страхования на 2024 год</w:t>
      </w:r>
      <w:r w:rsidRPr="003653DF">
        <w:rPr>
          <w:rFonts w:ascii="Times New Roman" w:hAnsi="Times New Roman"/>
          <w:sz w:val="24"/>
          <w:szCs w:val="24"/>
        </w:rPr>
        <w:t xml:space="preserve"> и на плановый период 2025 и 2026 годов</w:t>
      </w:r>
      <w:r w:rsidRPr="003653DF">
        <w:rPr>
          <w:rFonts w:ascii="Times New Roman" w:hAnsi="Times New Roman"/>
          <w:iCs/>
          <w:sz w:val="24"/>
          <w:szCs w:val="24"/>
        </w:rPr>
        <w:t xml:space="preserve">» и замечаний, изложенных </w:t>
      </w:r>
      <w:r w:rsidRPr="003653DF">
        <w:rPr>
          <w:rFonts w:ascii="Times New Roman" w:hAnsi="Times New Roman"/>
          <w:sz w:val="24"/>
          <w:szCs w:val="24"/>
        </w:rPr>
        <w:t>Контрольно-счетной палатой по проекту бюджета к первому чтению</w:t>
      </w:r>
      <w:r w:rsidRPr="003653DF">
        <w:rPr>
          <w:rFonts w:ascii="Times New Roman" w:hAnsi="Times New Roman"/>
          <w:iCs/>
          <w:sz w:val="24"/>
          <w:szCs w:val="24"/>
        </w:rPr>
        <w:t>.</w:t>
      </w:r>
    </w:p>
    <w:p w:rsidR="00A27667" w:rsidRPr="003653DF" w:rsidRDefault="00A27667" w:rsidP="009D76C5">
      <w:pPr>
        <w:spacing w:after="0" w:line="240" w:lineRule="auto"/>
        <w:jc w:val="both"/>
        <w:rPr>
          <w:rFonts w:ascii="Times New Roman" w:hAnsi="Times New Roman" w:cs="Times New Roman"/>
          <w:sz w:val="24"/>
          <w:szCs w:val="24"/>
        </w:rPr>
      </w:pPr>
    </w:p>
    <w:p w:rsidR="00280281" w:rsidRPr="003653DF" w:rsidRDefault="00EE641C" w:rsidP="009D76C5">
      <w:pPr>
        <w:spacing w:after="0" w:line="240" w:lineRule="auto"/>
        <w:jc w:val="both"/>
        <w:rPr>
          <w:rFonts w:ascii="Times New Roman" w:hAnsi="Times New Roman" w:cs="Times New Roman"/>
          <w:b/>
          <w:sz w:val="24"/>
          <w:szCs w:val="26"/>
        </w:rPr>
      </w:pPr>
      <w:r w:rsidRPr="003653DF">
        <w:rPr>
          <w:rFonts w:ascii="Times New Roman" w:hAnsi="Times New Roman" w:cs="Times New Roman"/>
          <w:b/>
          <w:sz w:val="24"/>
          <w:szCs w:val="26"/>
        </w:rPr>
        <w:t>Экспертно-аналитическое мероприятие  «Анализ результатов исполнения по состоянию на 1 августа 2023 года рекомендаций по проведению организационных мероприятий по инвентаризации и выявлению пользователей объектов недвижимости без регистрации прав на эти объекты, по уточнению  отсутствующих характеристик объектов, необходимых  для принятия  на налоговый учет, обозначенных в отчете о результатах экспертно-аналитического мероприятия «Анализ поступлений в  консолидированный  бюджет  Томской  области от налога  на  имущество  физических  лиц  в  целях  оценки  достаточности и обоснованности    финансовой    поддержки    бюджетов    муниципальных образований, предоставляемой за счет средств областного бюджета», проведенного в 2022 году»</w:t>
      </w:r>
    </w:p>
    <w:p w:rsidR="00EE641C" w:rsidRPr="009D76C5" w:rsidRDefault="00EE641C" w:rsidP="009D76C5">
      <w:pPr>
        <w:spacing w:after="0" w:line="240" w:lineRule="auto"/>
        <w:ind w:firstLine="567"/>
        <w:jc w:val="both"/>
        <w:rPr>
          <w:rFonts w:ascii="Times New Roman" w:hAnsi="Times New Roman" w:cs="Times New Roman"/>
          <w:sz w:val="24"/>
          <w:szCs w:val="24"/>
        </w:rPr>
      </w:pPr>
      <w:r w:rsidRPr="009D76C5">
        <w:rPr>
          <w:rFonts w:ascii="Times New Roman" w:hAnsi="Times New Roman" w:cs="Times New Roman"/>
          <w:bCs/>
          <w:sz w:val="24"/>
          <w:szCs w:val="24"/>
        </w:rPr>
        <w:t>Цели мероприятия:</w:t>
      </w:r>
      <w:r w:rsidRPr="009D76C5">
        <w:rPr>
          <w:rFonts w:ascii="Times New Roman" w:hAnsi="Times New Roman" w:cs="Times New Roman"/>
          <w:sz w:val="24"/>
          <w:szCs w:val="24"/>
        </w:rPr>
        <w:t xml:space="preserve"> </w:t>
      </w:r>
    </w:p>
    <w:p w:rsidR="00280068" w:rsidRDefault="00EE641C" w:rsidP="009D76C5">
      <w:pPr>
        <w:spacing w:after="0" w:line="240" w:lineRule="auto"/>
        <w:jc w:val="both"/>
        <w:rPr>
          <w:rFonts w:ascii="Times New Roman" w:hAnsi="Times New Roman" w:cs="Times New Roman"/>
          <w:sz w:val="24"/>
          <w:szCs w:val="24"/>
        </w:rPr>
      </w:pPr>
      <w:r w:rsidRPr="003653DF">
        <w:rPr>
          <w:rFonts w:ascii="Times New Roman" w:hAnsi="Times New Roman" w:cs="Times New Roman"/>
          <w:sz w:val="24"/>
          <w:szCs w:val="24"/>
        </w:rPr>
        <w:t>- межведомственное взаимодействие органов исполнительной власти по вопросу учета объектов недвижимости;</w:t>
      </w:r>
    </w:p>
    <w:p w:rsidR="00EE641C" w:rsidRPr="003653DF" w:rsidRDefault="00EE641C" w:rsidP="009D76C5">
      <w:pPr>
        <w:spacing w:after="0" w:line="240" w:lineRule="auto"/>
        <w:jc w:val="both"/>
        <w:rPr>
          <w:rFonts w:ascii="Times New Roman" w:hAnsi="Times New Roman" w:cs="Times New Roman"/>
          <w:sz w:val="24"/>
          <w:szCs w:val="24"/>
        </w:rPr>
      </w:pPr>
      <w:r w:rsidRPr="003653DF">
        <w:rPr>
          <w:rFonts w:ascii="Times New Roman" w:hAnsi="Times New Roman" w:cs="Times New Roman"/>
          <w:sz w:val="24"/>
          <w:szCs w:val="24"/>
        </w:rPr>
        <w:t>- механизм и результативности деятельности органов исполнительной власти по вопросу регистрации прав на объекты недвижимости физических лиц.</w:t>
      </w:r>
    </w:p>
    <w:p w:rsidR="00147858" w:rsidRPr="003653DF" w:rsidRDefault="00EE641C" w:rsidP="009D76C5">
      <w:pPr>
        <w:spacing w:after="0" w:line="240" w:lineRule="auto"/>
        <w:ind w:firstLine="567"/>
        <w:jc w:val="both"/>
        <w:rPr>
          <w:rFonts w:ascii="Times New Roman" w:hAnsi="Times New Roman" w:cs="Times New Roman"/>
          <w:sz w:val="24"/>
          <w:szCs w:val="24"/>
        </w:rPr>
      </w:pPr>
      <w:r w:rsidRPr="003653DF">
        <w:rPr>
          <w:rFonts w:ascii="Times New Roman" w:hAnsi="Times New Roman" w:cs="Times New Roman"/>
          <w:sz w:val="24"/>
          <w:szCs w:val="24"/>
        </w:rPr>
        <w:t xml:space="preserve">По итогам мероприятия выработаны </w:t>
      </w:r>
      <w:r w:rsidR="00147858" w:rsidRPr="003653DF">
        <w:rPr>
          <w:rFonts w:ascii="Times New Roman" w:hAnsi="Times New Roman" w:cs="Times New Roman"/>
          <w:sz w:val="24"/>
          <w:szCs w:val="24"/>
        </w:rPr>
        <w:t xml:space="preserve">следующие </w:t>
      </w:r>
      <w:r w:rsidRPr="003653DF">
        <w:rPr>
          <w:rFonts w:ascii="Times New Roman" w:hAnsi="Times New Roman" w:cs="Times New Roman"/>
          <w:sz w:val="24"/>
          <w:szCs w:val="24"/>
        </w:rPr>
        <w:t>предложения и рекомендации</w:t>
      </w:r>
      <w:r w:rsidR="00147858" w:rsidRPr="003653DF">
        <w:rPr>
          <w:rFonts w:ascii="Times New Roman" w:hAnsi="Times New Roman" w:cs="Times New Roman"/>
          <w:sz w:val="24"/>
          <w:szCs w:val="24"/>
        </w:rPr>
        <w:t>:</w:t>
      </w:r>
    </w:p>
    <w:p w:rsidR="00C11775" w:rsidRPr="003653DF" w:rsidRDefault="00113F7D" w:rsidP="009D76C5">
      <w:pPr>
        <w:spacing w:after="0" w:line="240" w:lineRule="auto"/>
        <w:jc w:val="both"/>
        <w:rPr>
          <w:rFonts w:ascii="Times New Roman" w:hAnsi="Times New Roman" w:cs="Times New Roman"/>
          <w:sz w:val="24"/>
          <w:szCs w:val="24"/>
        </w:rPr>
      </w:pPr>
      <w:r w:rsidRPr="003653DF">
        <w:rPr>
          <w:rFonts w:ascii="Times New Roman" w:hAnsi="Times New Roman" w:cs="Times New Roman"/>
          <w:sz w:val="24"/>
          <w:szCs w:val="24"/>
        </w:rPr>
        <w:t xml:space="preserve">- </w:t>
      </w:r>
      <w:r w:rsidR="00EE641C" w:rsidRPr="003653DF">
        <w:rPr>
          <w:rFonts w:ascii="Times New Roman" w:hAnsi="Times New Roman" w:cs="Times New Roman"/>
          <w:sz w:val="24"/>
          <w:szCs w:val="24"/>
        </w:rPr>
        <w:t>Администрации Томской области</w:t>
      </w:r>
      <w:r w:rsidR="00C11775" w:rsidRPr="003653DF">
        <w:rPr>
          <w:rFonts w:ascii="Times New Roman" w:hAnsi="Times New Roman" w:cs="Times New Roman"/>
          <w:sz w:val="24"/>
          <w:szCs w:val="24"/>
        </w:rPr>
        <w:t>:</w:t>
      </w:r>
      <w:r w:rsidRPr="003653DF">
        <w:rPr>
          <w:rFonts w:ascii="Times New Roman" w:hAnsi="Times New Roman" w:cs="Times New Roman"/>
          <w:sz w:val="24"/>
          <w:szCs w:val="24"/>
        </w:rPr>
        <w:t xml:space="preserve"> </w:t>
      </w:r>
    </w:p>
    <w:p w:rsidR="00147858" w:rsidRPr="003653DF" w:rsidRDefault="00C11775" w:rsidP="009D76C5">
      <w:pPr>
        <w:spacing w:after="0" w:line="240" w:lineRule="auto"/>
        <w:ind w:left="284"/>
        <w:jc w:val="both"/>
        <w:rPr>
          <w:rFonts w:ascii="Times New Roman" w:hAnsi="Times New Roman" w:cs="Times New Roman"/>
          <w:sz w:val="24"/>
        </w:rPr>
      </w:pPr>
      <w:r w:rsidRPr="003653DF">
        <w:rPr>
          <w:rFonts w:ascii="Times New Roman" w:hAnsi="Times New Roman" w:cs="Times New Roman"/>
          <w:sz w:val="24"/>
          <w:szCs w:val="24"/>
        </w:rPr>
        <w:t xml:space="preserve">- </w:t>
      </w:r>
      <w:r w:rsidR="00147858" w:rsidRPr="003653DF">
        <w:rPr>
          <w:rFonts w:ascii="Times New Roman" w:hAnsi="Times New Roman" w:cs="Times New Roman"/>
          <w:sz w:val="24"/>
        </w:rPr>
        <w:t xml:space="preserve">до 1 марта 2024 года заключить соглашение с </w:t>
      </w:r>
      <w:r w:rsidR="00147858" w:rsidRPr="003653DF">
        <w:rPr>
          <w:rFonts w:ascii="Times New Roman" w:hAnsi="Times New Roman" w:cs="Times New Roman"/>
          <w:bCs/>
          <w:sz w:val="24"/>
        </w:rPr>
        <w:t>ф</w:t>
      </w:r>
      <w:r w:rsidR="00147858" w:rsidRPr="003653DF">
        <w:rPr>
          <w:rFonts w:ascii="Times New Roman" w:hAnsi="Times New Roman" w:cs="Times New Roman"/>
          <w:sz w:val="24"/>
        </w:rPr>
        <w:t>илиалом «</w:t>
      </w:r>
      <w:proofErr w:type="spellStart"/>
      <w:r w:rsidR="00147858" w:rsidRPr="003653DF">
        <w:rPr>
          <w:rFonts w:ascii="Times New Roman" w:hAnsi="Times New Roman" w:cs="Times New Roman"/>
          <w:sz w:val="24"/>
        </w:rPr>
        <w:t>Роскадастр</w:t>
      </w:r>
      <w:proofErr w:type="spellEnd"/>
      <w:r w:rsidR="00147858" w:rsidRPr="003653DF">
        <w:rPr>
          <w:rFonts w:ascii="Times New Roman" w:hAnsi="Times New Roman" w:cs="Times New Roman"/>
          <w:sz w:val="24"/>
        </w:rPr>
        <w:t>» по Томской области о ежеквартальном предоставлении ряду д</w:t>
      </w:r>
      <w:r w:rsidR="00147858" w:rsidRPr="003653DF">
        <w:rPr>
          <w:rFonts w:ascii="Times New Roman" w:hAnsi="Times New Roman" w:cs="Times New Roman"/>
          <w:bCs/>
          <w:sz w:val="24"/>
        </w:rPr>
        <w:t>епартаментам и</w:t>
      </w:r>
      <w:r w:rsidR="00147858" w:rsidRPr="003653DF">
        <w:rPr>
          <w:rFonts w:ascii="Times New Roman" w:hAnsi="Times New Roman" w:cs="Times New Roman"/>
          <w:sz w:val="24"/>
        </w:rPr>
        <w:t xml:space="preserve"> муниципальным образованиям информации по каждому муниципальному образованию о количестве и кадастровой стоимости объектов недвижимости: по земельным участкам - по виду сегментов, по объектам капитального строительства - по группам функционального назначения, кадастровая стоимость которых была определена, право владения, на которые было зарегистрир</w:t>
      </w:r>
      <w:r w:rsidR="00113F7D" w:rsidRPr="003653DF">
        <w:rPr>
          <w:rFonts w:ascii="Times New Roman" w:hAnsi="Times New Roman" w:cs="Times New Roman"/>
          <w:sz w:val="24"/>
        </w:rPr>
        <w:t>овано  или не зарегистрировано,</w:t>
      </w:r>
    </w:p>
    <w:p w:rsidR="00C11775" w:rsidRPr="003653DF" w:rsidRDefault="00C11775" w:rsidP="009D76C5">
      <w:pPr>
        <w:spacing w:after="0" w:line="240" w:lineRule="auto"/>
        <w:ind w:left="284"/>
        <w:jc w:val="both"/>
        <w:rPr>
          <w:rFonts w:ascii="Times New Roman" w:hAnsi="Times New Roman" w:cs="Times New Roman"/>
          <w:sz w:val="24"/>
        </w:rPr>
      </w:pPr>
      <w:r w:rsidRPr="003653DF">
        <w:rPr>
          <w:rFonts w:ascii="Times New Roman" w:hAnsi="Times New Roman" w:cs="Times New Roman"/>
          <w:sz w:val="24"/>
        </w:rPr>
        <w:t>- утвердить дорожную карту о проведении в 2024 году инвентаризации земельных участков и строений подведомственных бюджетных учреждений. Принять меры к устранению фактов неправомерного предоставления в пользование (аренда, безвозмездное пользование и др.) строений и земельных участков.</w:t>
      </w:r>
      <w:r w:rsidR="00947575" w:rsidRPr="003653DF">
        <w:rPr>
          <w:rFonts w:ascii="Times New Roman" w:hAnsi="Times New Roman" w:cs="Times New Roman"/>
          <w:sz w:val="24"/>
        </w:rPr>
        <w:t xml:space="preserve"> </w:t>
      </w:r>
      <w:r w:rsidRPr="003653DF">
        <w:rPr>
          <w:rFonts w:ascii="Times New Roman" w:hAnsi="Times New Roman" w:cs="Times New Roman"/>
          <w:sz w:val="24"/>
        </w:rPr>
        <w:t>Передать до окончания 2024 года в хозяйственный оборот выявленное имущество (часть имущества), не предназначенное для реализации полномочий органов государственной власти области и подведомственных им учреждений, или используемое с превышением необходимых количественных параметров по площади объектов,</w:t>
      </w:r>
    </w:p>
    <w:p w:rsidR="00C11775" w:rsidRPr="003653DF" w:rsidRDefault="00C11775"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rPr>
        <w:t xml:space="preserve">- </w:t>
      </w:r>
      <w:r w:rsidRPr="003653DF">
        <w:rPr>
          <w:rFonts w:ascii="Times New Roman" w:hAnsi="Times New Roman" w:cs="Times New Roman"/>
          <w:sz w:val="24"/>
          <w:szCs w:val="24"/>
        </w:rPr>
        <w:t xml:space="preserve">при привлечении к участию муниципальных образований в </w:t>
      </w:r>
      <w:proofErr w:type="spellStart"/>
      <w:r w:rsidRPr="003653DF">
        <w:rPr>
          <w:rFonts w:ascii="Times New Roman" w:hAnsi="Times New Roman" w:cs="Times New Roman"/>
          <w:sz w:val="24"/>
          <w:szCs w:val="24"/>
        </w:rPr>
        <w:t>гос</w:t>
      </w:r>
      <w:r w:rsidR="006F58B3" w:rsidRPr="003653DF">
        <w:rPr>
          <w:rFonts w:ascii="Times New Roman" w:hAnsi="Times New Roman" w:cs="Times New Roman"/>
          <w:sz w:val="24"/>
          <w:szCs w:val="24"/>
        </w:rPr>
        <w:t>.</w:t>
      </w:r>
      <w:r w:rsidRPr="003653DF">
        <w:rPr>
          <w:rFonts w:ascii="Times New Roman" w:hAnsi="Times New Roman" w:cs="Times New Roman"/>
          <w:sz w:val="24"/>
          <w:szCs w:val="24"/>
        </w:rPr>
        <w:t>программах</w:t>
      </w:r>
      <w:proofErr w:type="spellEnd"/>
      <w:r w:rsidRPr="003653DF">
        <w:rPr>
          <w:rFonts w:ascii="Times New Roman" w:hAnsi="Times New Roman" w:cs="Times New Roman"/>
          <w:sz w:val="24"/>
          <w:szCs w:val="24"/>
        </w:rPr>
        <w:t xml:space="preserve"> Томской области на 2025 год рассматривать в приоритетном порядке те муниципальные образования, у которых на 1 октября 2024 года значительно снижена доля объектов, права на которые не были </w:t>
      </w:r>
      <w:r w:rsidR="006F58B3" w:rsidRPr="003653DF">
        <w:rPr>
          <w:rFonts w:ascii="Times New Roman" w:hAnsi="Times New Roman" w:cs="Times New Roman"/>
          <w:sz w:val="24"/>
          <w:szCs w:val="24"/>
        </w:rPr>
        <w:t>зарегистрированы в</w:t>
      </w:r>
      <w:r w:rsidRPr="003653DF">
        <w:rPr>
          <w:rFonts w:ascii="Times New Roman" w:hAnsi="Times New Roman" w:cs="Times New Roman"/>
          <w:sz w:val="24"/>
          <w:szCs w:val="24"/>
        </w:rPr>
        <w:t xml:space="preserve"> установленном порядке</w:t>
      </w:r>
      <w:r w:rsidR="006F58B3" w:rsidRPr="003653DF">
        <w:rPr>
          <w:rFonts w:ascii="Times New Roman" w:hAnsi="Times New Roman" w:cs="Times New Roman"/>
          <w:sz w:val="24"/>
          <w:szCs w:val="24"/>
        </w:rPr>
        <w:t>,</w:t>
      </w:r>
    </w:p>
    <w:p w:rsidR="00C11775" w:rsidRPr="003653DF" w:rsidRDefault="006F58B3"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rPr>
        <w:t xml:space="preserve">- </w:t>
      </w:r>
      <w:r w:rsidRPr="003653DF">
        <w:rPr>
          <w:rFonts w:ascii="Times New Roman" w:hAnsi="Times New Roman" w:cs="Times New Roman"/>
          <w:sz w:val="24"/>
          <w:szCs w:val="24"/>
        </w:rPr>
        <w:t>подготовить законодательную инициативу о внесении дополнения в КоАП РФ, в Закон № 218-ФЗ «О государственной регистрации недвижимости», касающееся   ограничения сроков регистрации объектов, об установлении ответственности за отсутствие регистрации объектов для организаций и индивидуальных предпринимателей, право владения, пользования и распоряжения объектами капитального строительства и земельными участками, которых не зарегистрировано в установленном порядке в случае их  использования в целях осуществления предпринимательской деятельности,</w:t>
      </w:r>
    </w:p>
    <w:p w:rsidR="0051611B" w:rsidRPr="003653DF" w:rsidRDefault="00113F7D" w:rsidP="009D76C5">
      <w:pPr>
        <w:spacing w:after="0" w:line="240" w:lineRule="auto"/>
        <w:jc w:val="both"/>
        <w:rPr>
          <w:rFonts w:ascii="Times New Roman" w:hAnsi="Times New Roman" w:cs="Times New Roman"/>
          <w:sz w:val="24"/>
        </w:rPr>
      </w:pPr>
      <w:r w:rsidRPr="003653DF">
        <w:rPr>
          <w:rFonts w:ascii="Times New Roman" w:hAnsi="Times New Roman" w:cs="Times New Roman"/>
          <w:sz w:val="24"/>
        </w:rPr>
        <w:t xml:space="preserve">- </w:t>
      </w:r>
      <w:r w:rsidR="0051611B" w:rsidRPr="003653DF">
        <w:rPr>
          <w:rFonts w:ascii="Times New Roman" w:hAnsi="Times New Roman" w:cs="Times New Roman"/>
          <w:sz w:val="24"/>
        </w:rPr>
        <w:t>Департаменту по управлению государственной собственностью и Департаменту экономики до 1 марта 2024 года:</w:t>
      </w:r>
    </w:p>
    <w:p w:rsidR="0051611B" w:rsidRPr="003653DF" w:rsidRDefault="0051611B" w:rsidP="009D76C5">
      <w:pPr>
        <w:spacing w:after="0" w:line="240" w:lineRule="auto"/>
        <w:ind w:left="284"/>
        <w:jc w:val="both"/>
        <w:rPr>
          <w:rFonts w:ascii="Times New Roman" w:hAnsi="Times New Roman" w:cs="Times New Roman"/>
          <w:sz w:val="24"/>
        </w:rPr>
      </w:pPr>
      <w:r w:rsidRPr="003653DF">
        <w:rPr>
          <w:rFonts w:ascii="Times New Roman" w:hAnsi="Times New Roman" w:cs="Times New Roman"/>
          <w:sz w:val="24"/>
        </w:rPr>
        <w:t xml:space="preserve">- выработать действенный (эффективный) механизм, стимулирующий к регистрации прав на объекты недвижимости; </w:t>
      </w:r>
    </w:p>
    <w:p w:rsidR="0051611B" w:rsidRPr="003653DF" w:rsidRDefault="0051611B" w:rsidP="009D76C5">
      <w:pPr>
        <w:spacing w:after="0" w:line="240" w:lineRule="auto"/>
        <w:ind w:left="284"/>
        <w:jc w:val="both"/>
        <w:rPr>
          <w:rFonts w:ascii="Times New Roman" w:hAnsi="Times New Roman" w:cs="Times New Roman"/>
          <w:sz w:val="24"/>
        </w:rPr>
      </w:pPr>
      <w:r w:rsidRPr="003653DF">
        <w:rPr>
          <w:rFonts w:ascii="Times New Roman" w:hAnsi="Times New Roman" w:cs="Times New Roman"/>
          <w:sz w:val="24"/>
        </w:rPr>
        <w:t xml:space="preserve">- обеспечить утверждение процедуры проведения инвентаризации объектов недвижимости в каждом муниципальном образовании; </w:t>
      </w:r>
    </w:p>
    <w:p w:rsidR="0019294F" w:rsidRPr="003653DF" w:rsidRDefault="0051611B" w:rsidP="009D76C5">
      <w:pPr>
        <w:spacing w:after="0" w:line="240" w:lineRule="auto"/>
        <w:ind w:left="284"/>
        <w:jc w:val="both"/>
        <w:rPr>
          <w:rFonts w:ascii="Times New Roman" w:hAnsi="Times New Roman" w:cs="Times New Roman"/>
          <w:sz w:val="24"/>
        </w:rPr>
      </w:pPr>
      <w:r w:rsidRPr="003653DF">
        <w:rPr>
          <w:rFonts w:ascii="Times New Roman" w:hAnsi="Times New Roman" w:cs="Times New Roman"/>
          <w:sz w:val="24"/>
        </w:rPr>
        <w:t>- дополнить стратегию социально-экономического развития Томской области до 2030 года разделом об эффективном управлении земельными ресурсами и объектами капитального строительства, направленного на достижение национальных целей и целевых показателей документ</w:t>
      </w:r>
      <w:r w:rsidR="00E15F5E" w:rsidRPr="003653DF">
        <w:rPr>
          <w:rFonts w:ascii="Times New Roman" w:hAnsi="Times New Roman" w:cs="Times New Roman"/>
          <w:sz w:val="24"/>
        </w:rPr>
        <w:t>ов стратегического планирования,</w:t>
      </w:r>
    </w:p>
    <w:p w:rsidR="00C11775" w:rsidRPr="003653DF" w:rsidRDefault="00E15F5E" w:rsidP="009D76C5">
      <w:pPr>
        <w:spacing w:after="0" w:line="240" w:lineRule="auto"/>
        <w:jc w:val="both"/>
        <w:rPr>
          <w:rFonts w:ascii="Times New Roman" w:hAnsi="Times New Roman" w:cs="Times New Roman"/>
          <w:sz w:val="24"/>
        </w:rPr>
      </w:pPr>
      <w:r w:rsidRPr="003653DF">
        <w:rPr>
          <w:rFonts w:ascii="Times New Roman" w:hAnsi="Times New Roman" w:cs="Times New Roman"/>
          <w:sz w:val="24"/>
        </w:rPr>
        <w:t xml:space="preserve">- </w:t>
      </w:r>
      <w:r w:rsidR="00C11775" w:rsidRPr="003653DF">
        <w:rPr>
          <w:rFonts w:ascii="Times New Roman" w:hAnsi="Times New Roman" w:cs="Times New Roman"/>
          <w:sz w:val="24"/>
        </w:rPr>
        <w:t>Департаменту экономики рассчитать потери бюджетов муниципальных образований от применения пониженных ставок по налогу на имущество физических лиц и совместно с Департаментом финансов уменьшить объем финансовой помощи на 2025 год муниципальным образованиям, не принявшим до 1 июня 2024 года решения об отмене регрессивных налоговых ставок по местным налогам и об отмене пониженных ставок для объектов, перечень которых определен статьей 378.2 Налогового Кодекса РФ и для «Прочих объектов» без соответствующего финансово-экономического обоснования данных льгот, или увеличить прогнозные назначения доходов муниципальных образований при проектировании их доходов на очередной финансовый год в размере не меньшем, чем потери бюджетов поселений от необоснованного применения пониженных ставок,</w:t>
      </w:r>
    </w:p>
    <w:p w:rsidR="0019294F" w:rsidRPr="003653DF" w:rsidRDefault="00C11775" w:rsidP="009D76C5">
      <w:pPr>
        <w:spacing w:after="0" w:line="240" w:lineRule="auto"/>
        <w:jc w:val="both"/>
        <w:rPr>
          <w:rFonts w:ascii="Times New Roman" w:hAnsi="Times New Roman" w:cs="Times New Roman"/>
          <w:sz w:val="24"/>
        </w:rPr>
      </w:pPr>
      <w:r w:rsidRPr="003653DF">
        <w:rPr>
          <w:rFonts w:ascii="Times New Roman" w:hAnsi="Times New Roman" w:cs="Times New Roman"/>
          <w:sz w:val="24"/>
        </w:rPr>
        <w:t xml:space="preserve">- </w:t>
      </w:r>
      <w:r w:rsidR="006F58B3" w:rsidRPr="003653DF">
        <w:rPr>
          <w:rFonts w:ascii="Times New Roman" w:hAnsi="Times New Roman" w:cs="Times New Roman"/>
          <w:bCs/>
          <w:sz w:val="24"/>
          <w:szCs w:val="24"/>
        </w:rPr>
        <w:t xml:space="preserve">Департаменту по управлению государственной собственностью </w:t>
      </w:r>
      <w:r w:rsidR="006F58B3" w:rsidRPr="003653DF">
        <w:rPr>
          <w:rFonts w:ascii="Times New Roman" w:hAnsi="Times New Roman" w:cs="Times New Roman"/>
          <w:sz w:val="24"/>
          <w:szCs w:val="24"/>
        </w:rPr>
        <w:t>и Департаменту экономики до 1 июня 2024 года осуществить весь комплекс мероприятий по выявлению и понуждению к регистрации владельцев объектов, используемых в предпринимательских целях.</w:t>
      </w:r>
    </w:p>
    <w:p w:rsidR="0019294F" w:rsidRPr="003653DF" w:rsidRDefault="0019294F" w:rsidP="009D76C5">
      <w:pPr>
        <w:spacing w:after="0" w:line="240" w:lineRule="auto"/>
        <w:jc w:val="both"/>
        <w:rPr>
          <w:rFonts w:ascii="Times New Roman" w:hAnsi="Times New Roman" w:cs="Times New Roman"/>
          <w:sz w:val="24"/>
          <w:szCs w:val="24"/>
        </w:rPr>
      </w:pPr>
    </w:p>
    <w:p w:rsidR="0019294F" w:rsidRPr="003653DF" w:rsidRDefault="00965888" w:rsidP="009D76C5">
      <w:pPr>
        <w:spacing w:after="0" w:line="240" w:lineRule="auto"/>
        <w:jc w:val="both"/>
        <w:rPr>
          <w:rFonts w:ascii="Times New Roman" w:hAnsi="Times New Roman" w:cs="Times New Roman"/>
          <w:sz w:val="24"/>
          <w:szCs w:val="24"/>
        </w:rPr>
      </w:pPr>
      <w:r w:rsidRPr="003653DF">
        <w:rPr>
          <w:rFonts w:ascii="Times New Roman" w:hAnsi="Times New Roman" w:cs="Times New Roman"/>
          <w:b/>
          <w:sz w:val="24"/>
          <w:szCs w:val="26"/>
        </w:rPr>
        <w:t xml:space="preserve">Экспертно-аналитическое мероприятие </w:t>
      </w:r>
      <w:r w:rsidR="003E7320" w:rsidRPr="003653DF">
        <w:rPr>
          <w:rFonts w:ascii="Times New Roman" w:hAnsi="Times New Roman" w:cs="Times New Roman"/>
          <w:b/>
          <w:sz w:val="24"/>
          <w:szCs w:val="26"/>
        </w:rPr>
        <w:t>«</w:t>
      </w:r>
      <w:r w:rsidRPr="003653DF">
        <w:rPr>
          <w:rFonts w:ascii="Times New Roman" w:hAnsi="Times New Roman" w:cs="Times New Roman"/>
          <w:b/>
          <w:sz w:val="24"/>
          <w:szCs w:val="26"/>
        </w:rPr>
        <w:t>Анализ исполнения плановых назначений по доходам в областной бюджет по транспортному налогу</w:t>
      </w:r>
      <w:r w:rsidR="003E7320" w:rsidRPr="003653DF">
        <w:rPr>
          <w:rFonts w:ascii="Times New Roman" w:hAnsi="Times New Roman" w:cs="Times New Roman"/>
          <w:b/>
          <w:sz w:val="24"/>
          <w:szCs w:val="26"/>
        </w:rPr>
        <w:t>»</w:t>
      </w:r>
    </w:p>
    <w:p w:rsidR="00280281" w:rsidRPr="009D76C5" w:rsidRDefault="00280281" w:rsidP="009D76C5">
      <w:pPr>
        <w:spacing w:after="0" w:line="240" w:lineRule="auto"/>
        <w:ind w:firstLine="567"/>
        <w:jc w:val="both"/>
        <w:rPr>
          <w:rFonts w:ascii="Times New Roman" w:hAnsi="Times New Roman" w:cs="Times New Roman"/>
          <w:sz w:val="24"/>
          <w:szCs w:val="24"/>
        </w:rPr>
      </w:pPr>
      <w:r w:rsidRPr="009D76C5">
        <w:rPr>
          <w:rFonts w:ascii="Times New Roman" w:hAnsi="Times New Roman" w:cs="Times New Roman"/>
          <w:bCs/>
          <w:sz w:val="24"/>
          <w:szCs w:val="24"/>
        </w:rPr>
        <w:t>Цел</w:t>
      </w:r>
      <w:r w:rsidR="003E7320" w:rsidRPr="009D76C5">
        <w:rPr>
          <w:rFonts w:ascii="Times New Roman" w:hAnsi="Times New Roman" w:cs="Times New Roman"/>
          <w:bCs/>
          <w:sz w:val="24"/>
          <w:szCs w:val="24"/>
        </w:rPr>
        <w:t>ь</w:t>
      </w:r>
      <w:r w:rsidRPr="009D76C5">
        <w:rPr>
          <w:rFonts w:ascii="Times New Roman" w:hAnsi="Times New Roman" w:cs="Times New Roman"/>
          <w:bCs/>
          <w:sz w:val="24"/>
          <w:szCs w:val="24"/>
        </w:rPr>
        <w:t xml:space="preserve"> мероприятия: </w:t>
      </w:r>
    </w:p>
    <w:p w:rsidR="00280281" w:rsidRPr="003653DF" w:rsidRDefault="00280281" w:rsidP="009D76C5">
      <w:pPr>
        <w:spacing w:after="0" w:line="240" w:lineRule="auto"/>
        <w:jc w:val="both"/>
        <w:rPr>
          <w:rFonts w:ascii="Times New Roman" w:hAnsi="Times New Roman" w:cs="Times New Roman"/>
          <w:sz w:val="24"/>
          <w:szCs w:val="24"/>
        </w:rPr>
      </w:pPr>
      <w:r w:rsidRPr="003653DF">
        <w:rPr>
          <w:rFonts w:ascii="Times New Roman" w:hAnsi="Times New Roman" w:cs="Times New Roman"/>
          <w:sz w:val="24"/>
          <w:szCs w:val="24"/>
        </w:rPr>
        <w:t>- оценка межведомственного взаимодействия органов исполнительной власти Томской области, территориальных подразделений федеральных органов власти по вопросу учета транспортных средств и уплаты транспортного налога.</w:t>
      </w:r>
    </w:p>
    <w:p w:rsidR="003E7320" w:rsidRPr="003653DF" w:rsidRDefault="00280281" w:rsidP="009D76C5">
      <w:pPr>
        <w:spacing w:after="0" w:line="240" w:lineRule="auto"/>
        <w:ind w:firstLine="567"/>
        <w:jc w:val="both"/>
        <w:rPr>
          <w:rFonts w:ascii="Times New Roman" w:hAnsi="Times New Roman" w:cs="Times New Roman"/>
          <w:sz w:val="24"/>
          <w:szCs w:val="24"/>
        </w:rPr>
      </w:pPr>
      <w:r w:rsidRPr="003653DF">
        <w:rPr>
          <w:rFonts w:ascii="Times New Roman" w:hAnsi="Times New Roman" w:cs="Times New Roman"/>
          <w:sz w:val="24"/>
          <w:szCs w:val="24"/>
        </w:rPr>
        <w:t xml:space="preserve">По итогам мероприятия выработаны </w:t>
      </w:r>
      <w:r w:rsidR="003E7320" w:rsidRPr="003653DF">
        <w:rPr>
          <w:rFonts w:ascii="Times New Roman" w:hAnsi="Times New Roman" w:cs="Times New Roman"/>
          <w:sz w:val="24"/>
          <w:szCs w:val="24"/>
        </w:rPr>
        <w:t>следующие предложения и рекомендации:</w:t>
      </w:r>
    </w:p>
    <w:p w:rsidR="003E7320" w:rsidRPr="003653DF" w:rsidRDefault="003E7320" w:rsidP="009D76C5">
      <w:pPr>
        <w:spacing w:after="0" w:line="240" w:lineRule="auto"/>
        <w:jc w:val="both"/>
        <w:rPr>
          <w:rFonts w:ascii="Times New Roman" w:hAnsi="Times New Roman" w:cs="Times New Roman"/>
          <w:sz w:val="24"/>
          <w:szCs w:val="24"/>
        </w:rPr>
      </w:pPr>
      <w:r w:rsidRPr="003653DF">
        <w:rPr>
          <w:rFonts w:ascii="Times New Roman" w:hAnsi="Times New Roman" w:cs="Times New Roman"/>
          <w:sz w:val="24"/>
          <w:szCs w:val="24"/>
        </w:rPr>
        <w:t>- Администрации Томской области</w:t>
      </w:r>
    </w:p>
    <w:p w:rsidR="003E7320" w:rsidRPr="003653DF" w:rsidRDefault="003E7320"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szCs w:val="24"/>
        </w:rPr>
        <w:t xml:space="preserve">- до 1 июня 2024 года разработать с участием Управления ГИБДД УМВД России по Томской области, Управления ФССП по Томской области, Инспекции </w:t>
      </w:r>
      <w:proofErr w:type="spellStart"/>
      <w:r w:rsidRPr="003653DF">
        <w:rPr>
          <w:rFonts w:ascii="Times New Roman" w:hAnsi="Times New Roman" w:cs="Times New Roman"/>
          <w:sz w:val="24"/>
          <w:szCs w:val="24"/>
        </w:rPr>
        <w:t>Гостехнадзора</w:t>
      </w:r>
      <w:proofErr w:type="spellEnd"/>
      <w:r w:rsidRPr="003653DF">
        <w:rPr>
          <w:rFonts w:ascii="Times New Roman" w:hAnsi="Times New Roman" w:cs="Times New Roman"/>
          <w:sz w:val="24"/>
          <w:szCs w:val="24"/>
        </w:rPr>
        <w:t xml:space="preserve"> Томской области, Центра ГИМС ГУ МЧС России по Томской области, дорожную карту по осуществлению мероприятий по снижению задолженности по транспортному налогу и задолженности по штрафам за нарушение правил дорожного движения,</w:t>
      </w:r>
    </w:p>
    <w:p w:rsidR="003E7320" w:rsidRPr="003653DF" w:rsidRDefault="003E7320"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szCs w:val="24"/>
        </w:rPr>
        <w:t>- рассмотреть вопрос получения Управлением ФССП по Томской области доступа к информационным системам для поиска и розыска транспортных средств на основании данных фото-</w:t>
      </w:r>
      <w:proofErr w:type="spellStart"/>
      <w:r w:rsidRPr="003653DF">
        <w:rPr>
          <w:rFonts w:ascii="Times New Roman" w:hAnsi="Times New Roman" w:cs="Times New Roman"/>
          <w:sz w:val="24"/>
          <w:szCs w:val="24"/>
        </w:rPr>
        <w:t>видеофиксации</w:t>
      </w:r>
      <w:proofErr w:type="spellEnd"/>
      <w:r w:rsidRPr="003653DF">
        <w:rPr>
          <w:rFonts w:ascii="Times New Roman" w:hAnsi="Times New Roman" w:cs="Times New Roman"/>
          <w:sz w:val="24"/>
          <w:szCs w:val="24"/>
        </w:rPr>
        <w:t>,</w:t>
      </w:r>
    </w:p>
    <w:p w:rsidR="009D630A" w:rsidRPr="003653DF" w:rsidRDefault="009D630A"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szCs w:val="24"/>
        </w:rPr>
        <w:t>- внести дополнение в положение о Департаменте транспорта, дорожной деятельности и связи, устанавливающее ответственность Департамента в повышении доходов областного бюджета по транспортному налогу, по доходам при оказании услуг дорожной деятельности и доходов от развития дорожной инфраструктуры,</w:t>
      </w:r>
    </w:p>
    <w:p w:rsidR="009D630A" w:rsidRPr="003653DF" w:rsidRDefault="009D630A"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szCs w:val="24"/>
        </w:rPr>
        <w:t xml:space="preserve">- внести </w:t>
      </w:r>
      <w:r w:rsidR="00280068">
        <w:rPr>
          <w:rFonts w:ascii="Times New Roman" w:hAnsi="Times New Roman" w:cs="Times New Roman"/>
          <w:sz w:val="24"/>
          <w:szCs w:val="24"/>
        </w:rPr>
        <w:t>в</w:t>
      </w:r>
      <w:r w:rsidRPr="003653DF">
        <w:rPr>
          <w:rFonts w:ascii="Times New Roman" w:hAnsi="Times New Roman" w:cs="Times New Roman"/>
          <w:sz w:val="24"/>
          <w:szCs w:val="24"/>
        </w:rPr>
        <w:t xml:space="preserve"> ГП «Развитие транспортной инфраструктуры в Томской области» дополнение о повышении доходов областного бюджета по транспортному налогу, по доходам при оказании услуг дорожной деятельности и доходов от развития дорожной инфраструктуры, и определить ответственным Департамент транспорта, дорожной деятельности и связи.</w:t>
      </w:r>
    </w:p>
    <w:p w:rsidR="003E7320" w:rsidRPr="003653DF" w:rsidRDefault="003E7320" w:rsidP="009D76C5">
      <w:pPr>
        <w:spacing w:after="0" w:line="240" w:lineRule="auto"/>
        <w:jc w:val="both"/>
        <w:rPr>
          <w:rFonts w:ascii="Times New Roman" w:hAnsi="Times New Roman" w:cs="Times New Roman"/>
          <w:sz w:val="24"/>
          <w:szCs w:val="24"/>
        </w:rPr>
      </w:pPr>
      <w:r w:rsidRPr="003653DF">
        <w:rPr>
          <w:rFonts w:ascii="Times New Roman" w:hAnsi="Times New Roman" w:cs="Times New Roman"/>
          <w:sz w:val="24"/>
          <w:szCs w:val="24"/>
        </w:rPr>
        <w:t xml:space="preserve">- Департаменту экономики организовать работу по проведению до 1 июня 2024 года сверки учетных данных о транспортных средствах Государственной инспекции по маломерным судам Томской области, Инспекции </w:t>
      </w:r>
      <w:proofErr w:type="spellStart"/>
      <w:r w:rsidRPr="003653DF">
        <w:rPr>
          <w:rFonts w:ascii="Times New Roman" w:hAnsi="Times New Roman" w:cs="Times New Roman"/>
          <w:sz w:val="24"/>
          <w:szCs w:val="24"/>
        </w:rPr>
        <w:t>Гостехнадзора</w:t>
      </w:r>
      <w:proofErr w:type="spellEnd"/>
      <w:r w:rsidRPr="003653DF">
        <w:rPr>
          <w:rFonts w:ascii="Times New Roman" w:hAnsi="Times New Roman" w:cs="Times New Roman"/>
          <w:sz w:val="24"/>
          <w:szCs w:val="24"/>
        </w:rPr>
        <w:t xml:space="preserve"> Томской области, ГИБДД УМВД России по Томской области с Управлением ФНС России по Томской области, для выявления возможных резервов по транспортному налогу и учесть результаты при формировании бюджета на 2025 год и последующие периоды,</w:t>
      </w:r>
    </w:p>
    <w:p w:rsidR="003E7320" w:rsidRPr="003653DF" w:rsidRDefault="003E7320" w:rsidP="009D76C5">
      <w:pPr>
        <w:spacing w:after="0" w:line="240" w:lineRule="auto"/>
        <w:jc w:val="both"/>
        <w:rPr>
          <w:rFonts w:ascii="Times New Roman" w:hAnsi="Times New Roman" w:cs="Times New Roman"/>
          <w:sz w:val="24"/>
          <w:szCs w:val="24"/>
        </w:rPr>
      </w:pPr>
      <w:r w:rsidRPr="003653DF">
        <w:rPr>
          <w:rFonts w:ascii="Times New Roman" w:hAnsi="Times New Roman" w:cs="Times New Roman"/>
          <w:sz w:val="24"/>
          <w:szCs w:val="24"/>
        </w:rPr>
        <w:t>- Департаменту транспорта, дорожной деятельности и связи рассмотреть вопрос о реализации мероприятий</w:t>
      </w:r>
      <w:r w:rsidR="009D630A" w:rsidRPr="003653DF">
        <w:rPr>
          <w:rFonts w:ascii="Times New Roman" w:hAnsi="Times New Roman" w:cs="Times New Roman"/>
          <w:sz w:val="24"/>
          <w:szCs w:val="24"/>
        </w:rPr>
        <w:t>, направленных</w:t>
      </w:r>
      <w:r w:rsidRPr="003653DF">
        <w:rPr>
          <w:rFonts w:ascii="Times New Roman" w:hAnsi="Times New Roman" w:cs="Times New Roman"/>
          <w:sz w:val="24"/>
          <w:szCs w:val="24"/>
        </w:rPr>
        <w:t>:</w:t>
      </w:r>
    </w:p>
    <w:p w:rsidR="003E7320" w:rsidRPr="003653DF" w:rsidRDefault="003E7320"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szCs w:val="24"/>
        </w:rPr>
        <w:t>-</w:t>
      </w:r>
      <w:r w:rsidR="009D630A" w:rsidRPr="003653DF">
        <w:rPr>
          <w:rFonts w:ascii="Times New Roman" w:hAnsi="Times New Roman" w:cs="Times New Roman"/>
          <w:sz w:val="24"/>
          <w:szCs w:val="24"/>
        </w:rPr>
        <w:t xml:space="preserve"> </w:t>
      </w:r>
      <w:r w:rsidRPr="003653DF">
        <w:rPr>
          <w:rFonts w:ascii="Times New Roman" w:hAnsi="Times New Roman" w:cs="Times New Roman"/>
          <w:sz w:val="24"/>
          <w:szCs w:val="24"/>
        </w:rPr>
        <w:t>на привлечени</w:t>
      </w:r>
      <w:r w:rsidR="009D630A" w:rsidRPr="003653DF">
        <w:rPr>
          <w:rFonts w:ascii="Times New Roman" w:hAnsi="Times New Roman" w:cs="Times New Roman"/>
          <w:sz w:val="24"/>
          <w:szCs w:val="24"/>
        </w:rPr>
        <w:t>е</w:t>
      </w:r>
      <w:r w:rsidRPr="003653DF">
        <w:rPr>
          <w:rFonts w:ascii="Times New Roman" w:hAnsi="Times New Roman" w:cs="Times New Roman"/>
          <w:sz w:val="24"/>
          <w:szCs w:val="24"/>
        </w:rPr>
        <w:t xml:space="preserve"> к регистрации транспортных средств действующих перевозчико</w:t>
      </w:r>
      <w:r w:rsidR="009D630A" w:rsidRPr="003653DF">
        <w:rPr>
          <w:rFonts w:ascii="Times New Roman" w:hAnsi="Times New Roman" w:cs="Times New Roman"/>
          <w:sz w:val="24"/>
          <w:szCs w:val="24"/>
        </w:rPr>
        <w:t>в на территорию Томской области,</w:t>
      </w:r>
    </w:p>
    <w:p w:rsidR="003E7320" w:rsidRPr="003653DF" w:rsidRDefault="003E7320"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szCs w:val="24"/>
        </w:rPr>
        <w:t xml:space="preserve">- </w:t>
      </w:r>
      <w:r w:rsidR="009D630A" w:rsidRPr="003653DF">
        <w:rPr>
          <w:rFonts w:ascii="Times New Roman" w:hAnsi="Times New Roman" w:cs="Times New Roman"/>
          <w:sz w:val="24"/>
          <w:szCs w:val="24"/>
        </w:rPr>
        <w:t>на наращивание</w:t>
      </w:r>
      <w:r w:rsidRPr="003653DF">
        <w:rPr>
          <w:rFonts w:ascii="Times New Roman" w:hAnsi="Times New Roman" w:cs="Times New Roman"/>
          <w:sz w:val="24"/>
          <w:szCs w:val="24"/>
        </w:rPr>
        <w:t xml:space="preserve"> дорожной инфраструктуры и привлечени</w:t>
      </w:r>
      <w:r w:rsidR="009D630A" w:rsidRPr="003653DF">
        <w:rPr>
          <w:rFonts w:ascii="Times New Roman" w:hAnsi="Times New Roman" w:cs="Times New Roman"/>
          <w:sz w:val="24"/>
          <w:szCs w:val="24"/>
        </w:rPr>
        <w:t>е</w:t>
      </w:r>
      <w:r w:rsidRPr="003653DF">
        <w:rPr>
          <w:rFonts w:ascii="Times New Roman" w:hAnsi="Times New Roman" w:cs="Times New Roman"/>
          <w:sz w:val="24"/>
          <w:szCs w:val="24"/>
        </w:rPr>
        <w:t xml:space="preserve"> инвесторов для стро</w:t>
      </w:r>
      <w:r w:rsidR="009D630A" w:rsidRPr="003653DF">
        <w:rPr>
          <w:rFonts w:ascii="Times New Roman" w:hAnsi="Times New Roman" w:cs="Times New Roman"/>
          <w:sz w:val="24"/>
          <w:szCs w:val="24"/>
        </w:rPr>
        <w:t>ительства логистических центров,</w:t>
      </w:r>
    </w:p>
    <w:p w:rsidR="003E7320" w:rsidRPr="003653DF" w:rsidRDefault="003E7320" w:rsidP="009D76C5">
      <w:pPr>
        <w:spacing w:after="0" w:line="240" w:lineRule="auto"/>
        <w:ind w:left="284"/>
        <w:jc w:val="both"/>
        <w:rPr>
          <w:rFonts w:ascii="Times New Roman" w:hAnsi="Times New Roman" w:cs="Times New Roman"/>
          <w:sz w:val="24"/>
          <w:szCs w:val="24"/>
        </w:rPr>
      </w:pPr>
      <w:r w:rsidRPr="003653DF">
        <w:rPr>
          <w:rFonts w:ascii="Times New Roman" w:hAnsi="Times New Roman" w:cs="Times New Roman"/>
          <w:sz w:val="24"/>
          <w:szCs w:val="24"/>
        </w:rPr>
        <w:t xml:space="preserve">- </w:t>
      </w:r>
      <w:r w:rsidR="009D630A" w:rsidRPr="003653DF">
        <w:rPr>
          <w:rFonts w:ascii="Times New Roman" w:hAnsi="Times New Roman" w:cs="Times New Roman"/>
          <w:sz w:val="24"/>
          <w:szCs w:val="24"/>
        </w:rPr>
        <w:t>на развитие</w:t>
      </w:r>
      <w:r w:rsidRPr="003653DF">
        <w:rPr>
          <w:rFonts w:ascii="Times New Roman" w:hAnsi="Times New Roman" w:cs="Times New Roman"/>
          <w:sz w:val="24"/>
          <w:szCs w:val="24"/>
        </w:rPr>
        <w:t xml:space="preserve"> системы </w:t>
      </w:r>
      <w:proofErr w:type="spellStart"/>
      <w:r w:rsidRPr="003653DF">
        <w:rPr>
          <w:rFonts w:ascii="Times New Roman" w:hAnsi="Times New Roman" w:cs="Times New Roman"/>
          <w:sz w:val="24"/>
          <w:szCs w:val="24"/>
        </w:rPr>
        <w:t>видеофиксации</w:t>
      </w:r>
      <w:proofErr w:type="spellEnd"/>
      <w:r w:rsidRPr="003653DF">
        <w:rPr>
          <w:rFonts w:ascii="Times New Roman" w:hAnsi="Times New Roman" w:cs="Times New Roman"/>
          <w:sz w:val="24"/>
          <w:szCs w:val="24"/>
        </w:rPr>
        <w:t xml:space="preserve">, в том числе с применением функций определения движения транспортного средства без соответствующей регистрации. </w:t>
      </w:r>
    </w:p>
    <w:p w:rsidR="00280281" w:rsidRPr="003653DF" w:rsidRDefault="00280281" w:rsidP="009D76C5">
      <w:pPr>
        <w:spacing w:after="0" w:line="240" w:lineRule="auto"/>
        <w:jc w:val="both"/>
        <w:rPr>
          <w:rFonts w:ascii="Times New Roman" w:hAnsi="Times New Roman" w:cs="Times New Roman"/>
          <w:sz w:val="24"/>
          <w:szCs w:val="24"/>
        </w:rPr>
      </w:pPr>
    </w:p>
    <w:p w:rsidR="00280281" w:rsidRPr="003653DF" w:rsidRDefault="00280281" w:rsidP="009D76C5">
      <w:pPr>
        <w:spacing w:after="0" w:line="240" w:lineRule="auto"/>
        <w:jc w:val="both"/>
        <w:rPr>
          <w:rFonts w:ascii="Times New Roman" w:hAnsi="Times New Roman" w:cs="Times New Roman"/>
          <w:b/>
          <w:sz w:val="24"/>
          <w:szCs w:val="24"/>
        </w:rPr>
      </w:pPr>
      <w:r w:rsidRPr="003653DF">
        <w:rPr>
          <w:rFonts w:ascii="Times New Roman" w:hAnsi="Times New Roman" w:cs="Times New Roman"/>
          <w:b/>
          <w:bCs/>
          <w:sz w:val="24"/>
          <w:szCs w:val="24"/>
        </w:rPr>
        <w:t xml:space="preserve">Экспертно-аналитическое мероприятие </w:t>
      </w:r>
      <w:r w:rsidRPr="003653DF">
        <w:rPr>
          <w:rFonts w:ascii="Times New Roman" w:hAnsi="Times New Roman" w:cs="Times New Roman"/>
          <w:b/>
          <w:sz w:val="24"/>
          <w:szCs w:val="24"/>
        </w:rPr>
        <w:t xml:space="preserve">«Проведение оперативного анализа исполнения и контроля за организацией исполнения областного бюджета и бюджета Территориального фонда обязательного медицинского страхования Томской области в текущем финансовом году» </w:t>
      </w:r>
      <w:r w:rsidRPr="003653DF">
        <w:rPr>
          <w:rFonts w:ascii="Times New Roman" w:hAnsi="Times New Roman" w:cs="Times New Roman"/>
          <w:b/>
          <w:i/>
          <w:iCs/>
          <w:sz w:val="24"/>
          <w:szCs w:val="24"/>
        </w:rPr>
        <w:t>(проведено по итогам исполнения бюджетов за 3 месяца, 6 месяцев и 9 месяцев 2023 года)</w:t>
      </w:r>
    </w:p>
    <w:p w:rsidR="00280281" w:rsidRPr="003653DF" w:rsidRDefault="00280281" w:rsidP="009D76C5">
      <w:pPr>
        <w:spacing w:after="0" w:line="240" w:lineRule="auto"/>
        <w:ind w:firstLine="567"/>
        <w:jc w:val="both"/>
        <w:rPr>
          <w:rFonts w:ascii="Times New Roman" w:hAnsi="Times New Roman" w:cs="Times New Roman"/>
          <w:sz w:val="24"/>
          <w:szCs w:val="24"/>
        </w:rPr>
      </w:pPr>
      <w:r w:rsidRPr="003653DF">
        <w:rPr>
          <w:rFonts w:ascii="Times New Roman" w:hAnsi="Times New Roman" w:cs="Times New Roman"/>
          <w:sz w:val="24"/>
          <w:szCs w:val="24"/>
        </w:rPr>
        <w:t>В ходе мероприяти</w:t>
      </w:r>
      <w:r w:rsidR="009D630A" w:rsidRPr="003653DF">
        <w:rPr>
          <w:rFonts w:ascii="Times New Roman" w:hAnsi="Times New Roman" w:cs="Times New Roman"/>
          <w:sz w:val="24"/>
          <w:szCs w:val="24"/>
        </w:rPr>
        <w:t>й</w:t>
      </w:r>
      <w:r w:rsidRPr="003653DF">
        <w:rPr>
          <w:rFonts w:ascii="Times New Roman" w:hAnsi="Times New Roman" w:cs="Times New Roman"/>
          <w:sz w:val="24"/>
          <w:szCs w:val="24"/>
        </w:rPr>
        <w:t xml:space="preserve"> пров</w:t>
      </w:r>
      <w:r w:rsidR="009D630A" w:rsidRPr="003653DF">
        <w:rPr>
          <w:rFonts w:ascii="Times New Roman" w:hAnsi="Times New Roman" w:cs="Times New Roman"/>
          <w:sz w:val="24"/>
          <w:szCs w:val="24"/>
        </w:rPr>
        <w:t>еден</w:t>
      </w:r>
      <w:r w:rsidRPr="003653DF">
        <w:rPr>
          <w:rFonts w:ascii="Times New Roman" w:hAnsi="Times New Roman" w:cs="Times New Roman"/>
          <w:sz w:val="24"/>
          <w:szCs w:val="24"/>
        </w:rPr>
        <w:t xml:space="preserve"> анализ социально-экономических (макроэкономических) условий текущего периода и результатов исполнения бюджета, полноты и достоверности отчета об исполнении бюджета, соблюдения законодательства при организации исполнения бюджета, законности и эффективности деятельности по управлению государственным долгом, а также анализ выполнения бюджетных назначений, установленных законом о бюджете, контроль за устранением в текущем финансовом году нарушений и недостатков, установленных ранее, с подготовкой предложений по совершенствованию исполнения бюджета, системы управления и распоряжения государственной собственностью.</w:t>
      </w:r>
    </w:p>
    <w:p w:rsidR="009D630A" w:rsidRPr="003653DF" w:rsidRDefault="009D630A" w:rsidP="009D76C5">
      <w:pPr>
        <w:spacing w:after="0" w:line="240" w:lineRule="auto"/>
        <w:ind w:firstLine="567"/>
        <w:jc w:val="both"/>
        <w:rPr>
          <w:rFonts w:ascii="Times New Roman" w:hAnsi="Times New Roman" w:cs="Times New Roman"/>
          <w:bCs/>
          <w:sz w:val="24"/>
          <w:szCs w:val="24"/>
        </w:rPr>
      </w:pPr>
      <w:r w:rsidRPr="003653DF">
        <w:rPr>
          <w:rFonts w:ascii="Times New Roman" w:hAnsi="Times New Roman" w:cs="Times New Roman"/>
          <w:b/>
          <w:bCs/>
          <w:sz w:val="24"/>
          <w:szCs w:val="24"/>
        </w:rPr>
        <w:t>Основные выводы в заключении по итогам 3 месяцев:</w:t>
      </w:r>
    </w:p>
    <w:p w:rsidR="009D630A" w:rsidRPr="003653DF" w:rsidRDefault="009D630A" w:rsidP="009D76C5">
      <w:pPr>
        <w:spacing w:after="0" w:line="240" w:lineRule="auto"/>
        <w:jc w:val="both"/>
        <w:rPr>
          <w:rFonts w:ascii="Times New Roman" w:hAnsi="Times New Roman" w:cs="Times New Roman"/>
          <w:bCs/>
          <w:sz w:val="24"/>
          <w:szCs w:val="24"/>
        </w:rPr>
      </w:pPr>
      <w:r w:rsidRPr="003653DF">
        <w:rPr>
          <w:rFonts w:ascii="Times New Roman" w:hAnsi="Times New Roman" w:cs="Times New Roman"/>
          <w:bCs/>
          <w:sz w:val="24"/>
          <w:szCs w:val="24"/>
        </w:rPr>
        <w:t>- не произведено финансирование капитальных вложений 63 объектов из 77,</w:t>
      </w:r>
    </w:p>
    <w:p w:rsidR="009D630A" w:rsidRPr="003653DF" w:rsidRDefault="009D630A" w:rsidP="009D76C5">
      <w:pPr>
        <w:spacing w:after="0" w:line="240" w:lineRule="auto"/>
        <w:jc w:val="both"/>
        <w:rPr>
          <w:rFonts w:ascii="Times New Roman" w:hAnsi="Times New Roman" w:cs="Times New Roman"/>
          <w:bCs/>
          <w:sz w:val="24"/>
          <w:szCs w:val="24"/>
        </w:rPr>
      </w:pPr>
      <w:r w:rsidRPr="003653DF">
        <w:rPr>
          <w:rFonts w:ascii="Times New Roman" w:hAnsi="Times New Roman" w:cs="Times New Roman"/>
          <w:bCs/>
          <w:sz w:val="24"/>
          <w:szCs w:val="24"/>
        </w:rPr>
        <w:t>- риски неисполнения плановых назначений по налогу на прибыль организаций,</w:t>
      </w:r>
    </w:p>
    <w:p w:rsidR="009D630A" w:rsidRPr="003653DF" w:rsidRDefault="009D630A" w:rsidP="009D76C5">
      <w:pPr>
        <w:spacing w:after="0" w:line="240" w:lineRule="auto"/>
        <w:jc w:val="both"/>
        <w:rPr>
          <w:rFonts w:ascii="Times New Roman" w:hAnsi="Times New Roman" w:cs="Times New Roman"/>
          <w:bCs/>
          <w:sz w:val="24"/>
          <w:szCs w:val="24"/>
        </w:rPr>
      </w:pPr>
      <w:r w:rsidRPr="003653DF">
        <w:rPr>
          <w:rFonts w:ascii="Times New Roman" w:hAnsi="Times New Roman" w:cs="Times New Roman"/>
          <w:bCs/>
          <w:sz w:val="24"/>
          <w:szCs w:val="24"/>
        </w:rPr>
        <w:t>- объем государственного долга составил 51,5 млрд.руб. и увеличился по сравнению с началом года на 4,6%. Долговая нагрузка за первый квартал 2023 года составила 67,4%.</w:t>
      </w:r>
    </w:p>
    <w:p w:rsidR="009D630A" w:rsidRPr="003653DF" w:rsidRDefault="009D630A" w:rsidP="009D76C5">
      <w:pPr>
        <w:spacing w:after="0" w:line="240" w:lineRule="auto"/>
        <w:ind w:firstLine="567"/>
        <w:jc w:val="both"/>
        <w:rPr>
          <w:rFonts w:ascii="Times New Roman" w:hAnsi="Times New Roman" w:cs="Times New Roman"/>
          <w:bCs/>
          <w:sz w:val="24"/>
          <w:szCs w:val="24"/>
        </w:rPr>
      </w:pPr>
      <w:r w:rsidRPr="003653DF">
        <w:rPr>
          <w:rFonts w:ascii="Times New Roman" w:hAnsi="Times New Roman" w:cs="Times New Roman"/>
          <w:b/>
          <w:bCs/>
          <w:sz w:val="24"/>
          <w:szCs w:val="24"/>
        </w:rPr>
        <w:t>Основные выводы в заключении по итогам 6 месяцев:</w:t>
      </w:r>
    </w:p>
    <w:p w:rsidR="009D630A" w:rsidRPr="003653DF" w:rsidRDefault="009D630A" w:rsidP="009D76C5">
      <w:pPr>
        <w:spacing w:after="0" w:line="240" w:lineRule="auto"/>
        <w:jc w:val="both"/>
        <w:rPr>
          <w:rFonts w:ascii="Times New Roman" w:hAnsi="Times New Roman" w:cs="Times New Roman"/>
          <w:bCs/>
          <w:sz w:val="24"/>
          <w:szCs w:val="24"/>
        </w:rPr>
      </w:pPr>
      <w:r w:rsidRPr="003653DF">
        <w:rPr>
          <w:rFonts w:ascii="Times New Roman" w:hAnsi="Times New Roman" w:cs="Times New Roman"/>
          <w:bCs/>
          <w:sz w:val="24"/>
          <w:szCs w:val="24"/>
        </w:rPr>
        <w:t>- не начато финансирование капитальных вложений 51 объекта из 81,</w:t>
      </w:r>
    </w:p>
    <w:p w:rsidR="009D630A" w:rsidRPr="003653DF" w:rsidRDefault="009D630A" w:rsidP="009D76C5">
      <w:pPr>
        <w:spacing w:after="0" w:line="240" w:lineRule="auto"/>
        <w:jc w:val="both"/>
        <w:rPr>
          <w:rFonts w:ascii="Times New Roman" w:hAnsi="Times New Roman" w:cs="Times New Roman"/>
          <w:bCs/>
          <w:sz w:val="24"/>
          <w:szCs w:val="24"/>
        </w:rPr>
      </w:pPr>
      <w:r w:rsidRPr="003653DF">
        <w:rPr>
          <w:rFonts w:ascii="Times New Roman" w:hAnsi="Times New Roman" w:cs="Times New Roman"/>
          <w:bCs/>
          <w:sz w:val="24"/>
          <w:szCs w:val="24"/>
        </w:rPr>
        <w:t>- доля кассовых расходов на реализацию основных мероприятий и региональных проектов, включающих в себя проектные мероприятия, имеющих наибольший вклад в развитие экономики региона, за полгода составила 32% от общего объема программных расходов областного бюджета,</w:t>
      </w:r>
    </w:p>
    <w:p w:rsidR="009D630A" w:rsidRPr="003653DF" w:rsidRDefault="009D630A" w:rsidP="009D76C5">
      <w:pPr>
        <w:spacing w:after="0" w:line="240" w:lineRule="auto"/>
        <w:jc w:val="both"/>
        <w:rPr>
          <w:rFonts w:ascii="Times New Roman" w:hAnsi="Times New Roman" w:cs="Times New Roman"/>
          <w:bCs/>
          <w:sz w:val="24"/>
          <w:szCs w:val="24"/>
        </w:rPr>
      </w:pPr>
      <w:r w:rsidRPr="003653DF">
        <w:rPr>
          <w:rFonts w:ascii="Times New Roman" w:hAnsi="Times New Roman" w:cs="Times New Roman"/>
          <w:bCs/>
          <w:sz w:val="24"/>
          <w:szCs w:val="24"/>
        </w:rPr>
        <w:t>- по бюджету ТФОМС низкие расходы на дополнительное профессиональное образование медицинских работников по программам повышения квалификации и на приобретение/ремонт медицинского оборудования,</w:t>
      </w:r>
    </w:p>
    <w:p w:rsidR="009D630A" w:rsidRPr="003653DF" w:rsidRDefault="009D630A" w:rsidP="009D76C5">
      <w:pPr>
        <w:spacing w:after="0" w:line="240" w:lineRule="auto"/>
        <w:jc w:val="both"/>
        <w:rPr>
          <w:rFonts w:ascii="Times New Roman" w:hAnsi="Times New Roman" w:cs="Times New Roman"/>
          <w:bCs/>
          <w:sz w:val="24"/>
          <w:szCs w:val="24"/>
        </w:rPr>
      </w:pPr>
      <w:r w:rsidRPr="003653DF">
        <w:rPr>
          <w:rFonts w:ascii="Times New Roman" w:hAnsi="Times New Roman" w:cs="Times New Roman"/>
          <w:bCs/>
          <w:sz w:val="24"/>
          <w:szCs w:val="24"/>
        </w:rPr>
        <w:t>- риски неисполнения плановых назначений по налогу на прибыль организаций, налогу на имущество организаций и плате за негативное воздействие на окружающую среду,</w:t>
      </w:r>
    </w:p>
    <w:p w:rsidR="009D630A" w:rsidRPr="003653DF" w:rsidRDefault="009D630A" w:rsidP="009D76C5">
      <w:pPr>
        <w:spacing w:after="0" w:line="240" w:lineRule="auto"/>
        <w:jc w:val="both"/>
        <w:rPr>
          <w:rFonts w:ascii="Times New Roman" w:hAnsi="Times New Roman" w:cs="Times New Roman"/>
          <w:bCs/>
          <w:sz w:val="24"/>
          <w:szCs w:val="24"/>
        </w:rPr>
      </w:pPr>
      <w:r w:rsidRPr="003653DF">
        <w:rPr>
          <w:rFonts w:ascii="Times New Roman" w:hAnsi="Times New Roman" w:cs="Times New Roman"/>
          <w:bCs/>
          <w:sz w:val="24"/>
          <w:szCs w:val="24"/>
        </w:rPr>
        <w:t>- отставание динамики инвестиционных вложений в основной капитал по ВЭД «Строительство» и «Деятельность в области информации и связи».</w:t>
      </w:r>
    </w:p>
    <w:p w:rsidR="009D630A" w:rsidRPr="003653DF" w:rsidRDefault="009D630A" w:rsidP="009D76C5">
      <w:pPr>
        <w:spacing w:after="0" w:line="240" w:lineRule="auto"/>
        <w:ind w:firstLine="567"/>
        <w:jc w:val="both"/>
        <w:rPr>
          <w:rFonts w:ascii="Times New Roman" w:hAnsi="Times New Roman" w:cs="Times New Roman"/>
          <w:bCs/>
          <w:sz w:val="24"/>
          <w:szCs w:val="24"/>
        </w:rPr>
      </w:pPr>
      <w:r w:rsidRPr="003653DF">
        <w:rPr>
          <w:rFonts w:ascii="Times New Roman" w:hAnsi="Times New Roman" w:cs="Times New Roman"/>
          <w:b/>
          <w:bCs/>
          <w:sz w:val="24"/>
          <w:szCs w:val="24"/>
        </w:rPr>
        <w:t>Основные выводы в заключении по итогам 9 месяцев:</w:t>
      </w:r>
    </w:p>
    <w:p w:rsidR="009D630A" w:rsidRPr="003653DF" w:rsidRDefault="009D630A" w:rsidP="009D76C5">
      <w:pPr>
        <w:spacing w:after="0" w:line="240" w:lineRule="auto"/>
        <w:jc w:val="both"/>
        <w:rPr>
          <w:rFonts w:ascii="Times New Roman" w:hAnsi="Times New Roman" w:cs="Times New Roman"/>
          <w:bCs/>
          <w:sz w:val="24"/>
          <w:szCs w:val="24"/>
        </w:rPr>
      </w:pPr>
      <w:r w:rsidRPr="003653DF">
        <w:rPr>
          <w:rFonts w:ascii="Times New Roman" w:hAnsi="Times New Roman" w:cs="Times New Roman"/>
          <w:bCs/>
          <w:sz w:val="24"/>
          <w:szCs w:val="24"/>
        </w:rPr>
        <w:t>- низкий процент исполнения по ряду расходов, полностью отсутствуют расходы по 42 объектам капитального строительства из 80-ти</w:t>
      </w:r>
      <w:r w:rsidR="00A52E17" w:rsidRPr="003653DF">
        <w:rPr>
          <w:rFonts w:ascii="Times New Roman" w:hAnsi="Times New Roman" w:cs="Times New Roman"/>
          <w:bCs/>
          <w:sz w:val="24"/>
          <w:szCs w:val="24"/>
        </w:rPr>
        <w:t>,</w:t>
      </w:r>
    </w:p>
    <w:p w:rsidR="009D630A" w:rsidRPr="003653DF" w:rsidRDefault="009D630A" w:rsidP="009D76C5">
      <w:pPr>
        <w:spacing w:after="0" w:line="240" w:lineRule="auto"/>
        <w:jc w:val="both"/>
        <w:rPr>
          <w:rFonts w:ascii="Times New Roman" w:hAnsi="Times New Roman" w:cs="Times New Roman"/>
          <w:bCs/>
          <w:sz w:val="24"/>
          <w:szCs w:val="24"/>
        </w:rPr>
      </w:pPr>
      <w:r w:rsidRPr="003653DF">
        <w:rPr>
          <w:rFonts w:ascii="Times New Roman" w:hAnsi="Times New Roman" w:cs="Times New Roman"/>
          <w:bCs/>
          <w:sz w:val="24"/>
          <w:szCs w:val="24"/>
        </w:rPr>
        <w:t>- риски образования остатков неиспользованных средств в бюджете ТФОМС</w:t>
      </w:r>
      <w:r w:rsidR="00A52E17" w:rsidRPr="003653DF">
        <w:rPr>
          <w:rFonts w:ascii="Times New Roman" w:hAnsi="Times New Roman" w:cs="Times New Roman"/>
          <w:bCs/>
          <w:sz w:val="24"/>
          <w:szCs w:val="24"/>
        </w:rPr>
        <w:t>,</w:t>
      </w:r>
    </w:p>
    <w:p w:rsidR="009D630A" w:rsidRPr="003653DF" w:rsidRDefault="009D630A" w:rsidP="009D76C5">
      <w:pPr>
        <w:spacing w:after="0" w:line="240" w:lineRule="auto"/>
        <w:jc w:val="both"/>
        <w:rPr>
          <w:rFonts w:ascii="Times New Roman" w:hAnsi="Times New Roman" w:cs="Times New Roman"/>
          <w:bCs/>
          <w:sz w:val="24"/>
          <w:szCs w:val="24"/>
        </w:rPr>
      </w:pPr>
      <w:r w:rsidRPr="003653DF">
        <w:rPr>
          <w:rFonts w:ascii="Times New Roman" w:hAnsi="Times New Roman" w:cs="Times New Roman"/>
          <w:bCs/>
          <w:sz w:val="24"/>
          <w:szCs w:val="24"/>
        </w:rPr>
        <w:t>- риски неисполнения плановых назначений по налогу на прибыль организаций и плате за негативное воздействие на окружающую среду</w:t>
      </w:r>
      <w:r w:rsidR="00A52E17" w:rsidRPr="003653DF">
        <w:rPr>
          <w:rFonts w:ascii="Times New Roman" w:hAnsi="Times New Roman" w:cs="Times New Roman"/>
          <w:bCs/>
          <w:sz w:val="24"/>
          <w:szCs w:val="24"/>
        </w:rPr>
        <w:t>,</w:t>
      </w:r>
    </w:p>
    <w:p w:rsidR="009D630A" w:rsidRPr="003653DF" w:rsidRDefault="009D630A" w:rsidP="009D76C5">
      <w:pPr>
        <w:spacing w:after="0" w:line="240" w:lineRule="auto"/>
        <w:jc w:val="both"/>
        <w:rPr>
          <w:rFonts w:ascii="Times New Roman" w:hAnsi="Times New Roman" w:cs="Times New Roman"/>
          <w:bCs/>
          <w:sz w:val="24"/>
          <w:szCs w:val="24"/>
        </w:rPr>
      </w:pPr>
      <w:r w:rsidRPr="003653DF">
        <w:rPr>
          <w:rFonts w:ascii="Times New Roman" w:hAnsi="Times New Roman" w:cs="Times New Roman"/>
          <w:bCs/>
          <w:sz w:val="24"/>
          <w:szCs w:val="24"/>
        </w:rPr>
        <w:t>- индекс производства в январе-сентябре по ВЭД «Добыча полезных ископаемых» составил 96,6% при прогнозе на год - 100,2%</w:t>
      </w:r>
      <w:r w:rsidR="00A52E17" w:rsidRPr="003653DF">
        <w:rPr>
          <w:rFonts w:ascii="Times New Roman" w:hAnsi="Times New Roman" w:cs="Times New Roman"/>
          <w:bCs/>
          <w:sz w:val="24"/>
          <w:szCs w:val="24"/>
        </w:rPr>
        <w:t>,</w:t>
      </w:r>
    </w:p>
    <w:p w:rsidR="009D630A" w:rsidRPr="003653DF" w:rsidRDefault="009D630A" w:rsidP="009D76C5">
      <w:pPr>
        <w:spacing w:after="0" w:line="240" w:lineRule="auto"/>
        <w:jc w:val="both"/>
        <w:rPr>
          <w:rFonts w:ascii="Times New Roman" w:hAnsi="Times New Roman" w:cs="Times New Roman"/>
          <w:bCs/>
          <w:sz w:val="24"/>
          <w:szCs w:val="24"/>
        </w:rPr>
      </w:pPr>
      <w:r w:rsidRPr="003653DF">
        <w:rPr>
          <w:rFonts w:ascii="Times New Roman" w:hAnsi="Times New Roman" w:cs="Times New Roman"/>
          <w:bCs/>
          <w:sz w:val="24"/>
          <w:szCs w:val="24"/>
        </w:rPr>
        <w:t>- отставание динамики инвест</w:t>
      </w:r>
      <w:r w:rsidR="00A52E17" w:rsidRPr="003653DF">
        <w:rPr>
          <w:rFonts w:ascii="Times New Roman" w:hAnsi="Times New Roman" w:cs="Times New Roman"/>
          <w:bCs/>
          <w:sz w:val="24"/>
          <w:szCs w:val="24"/>
        </w:rPr>
        <w:t xml:space="preserve">иционных </w:t>
      </w:r>
      <w:r w:rsidRPr="003653DF">
        <w:rPr>
          <w:rFonts w:ascii="Times New Roman" w:hAnsi="Times New Roman" w:cs="Times New Roman"/>
          <w:bCs/>
          <w:sz w:val="24"/>
          <w:szCs w:val="24"/>
        </w:rPr>
        <w:t>вложений в основной капитал по ВЭД «Сельское, лесное хозяйство, охота, рыболовство и рыбоводство», «Строительство», «Деятельность профессиональная научная и техническая», «Деятельность в области информации и связи»</w:t>
      </w:r>
      <w:r w:rsidR="00A52E17" w:rsidRPr="003653DF">
        <w:rPr>
          <w:rFonts w:ascii="Times New Roman" w:hAnsi="Times New Roman" w:cs="Times New Roman"/>
          <w:bCs/>
          <w:sz w:val="24"/>
          <w:szCs w:val="24"/>
        </w:rPr>
        <w:t>.</w:t>
      </w:r>
    </w:p>
    <w:p w:rsidR="00280281" w:rsidRPr="003653DF" w:rsidRDefault="00280281" w:rsidP="009D76C5">
      <w:pPr>
        <w:spacing w:after="0" w:line="240" w:lineRule="auto"/>
        <w:jc w:val="both"/>
        <w:rPr>
          <w:rFonts w:ascii="Times New Roman" w:hAnsi="Times New Roman" w:cs="Times New Roman"/>
          <w:sz w:val="24"/>
          <w:szCs w:val="24"/>
        </w:rPr>
      </w:pPr>
    </w:p>
    <w:p w:rsidR="00A52E17" w:rsidRPr="003653DF" w:rsidRDefault="00A52E17" w:rsidP="009D76C5">
      <w:pPr>
        <w:tabs>
          <w:tab w:val="left" w:pos="360"/>
        </w:tabs>
        <w:spacing w:after="0" w:line="240" w:lineRule="auto"/>
        <w:contextualSpacing/>
        <w:jc w:val="both"/>
        <w:rPr>
          <w:rFonts w:ascii="Times New Roman" w:hAnsi="Times New Roman"/>
          <w:b/>
          <w:sz w:val="24"/>
          <w:szCs w:val="24"/>
        </w:rPr>
      </w:pPr>
      <w:r w:rsidRPr="003653DF">
        <w:rPr>
          <w:rFonts w:ascii="Times New Roman" w:hAnsi="Times New Roman"/>
          <w:b/>
          <w:bCs/>
          <w:sz w:val="24"/>
          <w:szCs w:val="24"/>
        </w:rPr>
        <w:t>Экспертно-аналитическое мероприятие «Экспертиза и подготовка заключения на отчет Администрации Томской области о результатах управления и распоряжения областным государственным имуществом за</w:t>
      </w:r>
      <w:r w:rsidRPr="003653DF">
        <w:rPr>
          <w:rFonts w:ascii="Times New Roman" w:hAnsi="Times New Roman"/>
          <w:b/>
          <w:sz w:val="24"/>
          <w:szCs w:val="24"/>
        </w:rPr>
        <w:t xml:space="preserve"> 2022 год»</w:t>
      </w:r>
    </w:p>
    <w:p w:rsidR="00280281" w:rsidRPr="003653DF" w:rsidRDefault="00DB38C8" w:rsidP="009D76C5">
      <w:pPr>
        <w:spacing w:after="0" w:line="240" w:lineRule="auto"/>
        <w:ind w:firstLine="567"/>
        <w:jc w:val="both"/>
        <w:rPr>
          <w:rFonts w:ascii="Times New Roman" w:hAnsi="Times New Roman" w:cs="Times New Roman"/>
          <w:sz w:val="24"/>
          <w:szCs w:val="24"/>
        </w:rPr>
      </w:pPr>
      <w:r w:rsidRPr="003653DF">
        <w:rPr>
          <w:rFonts w:ascii="Times New Roman" w:hAnsi="Times New Roman" w:cs="Times New Roman"/>
          <w:sz w:val="24"/>
          <w:szCs w:val="24"/>
        </w:rPr>
        <w:t>Сведения, содержащиеся в Отчете о результатах управления и распоряжения областным государственным имуществом за 2022 год, соответствуют требованиям, предъявляемым Законом Томской области «О порядке управления и распоряжения государственным имуществом Томской области» к составу информации, в обязательном порядке включаемой в Отчет. По итогам рассмотрения Отчета палатой подготовлены ряд замечаний и предложений по уточнению отчетных данных.</w:t>
      </w:r>
    </w:p>
    <w:p w:rsidR="00DB38C8" w:rsidRPr="003653DF" w:rsidRDefault="00DB38C8" w:rsidP="009D76C5">
      <w:pPr>
        <w:spacing w:after="0" w:line="240" w:lineRule="auto"/>
        <w:ind w:firstLine="567"/>
        <w:jc w:val="both"/>
        <w:rPr>
          <w:rFonts w:ascii="Times New Roman" w:hAnsi="Times New Roman" w:cs="Times New Roman"/>
          <w:sz w:val="24"/>
          <w:szCs w:val="24"/>
        </w:rPr>
      </w:pPr>
      <w:r w:rsidRPr="003653DF">
        <w:rPr>
          <w:rFonts w:ascii="Times New Roman" w:hAnsi="Times New Roman" w:cs="Times New Roman"/>
          <w:sz w:val="24"/>
          <w:szCs w:val="24"/>
        </w:rPr>
        <w:t>В заключении отмечено, что стабильно значительное количество ежегодных замечаний к Отчету о результатах управления и распоряжения областным государственным имуществом, требующих внесения корректировок и дополнений, свидетельствует о недостаточном качестве анализа документов и свода отчетных данных, проводимых уполномоченным органом по управлению областным государственным имуществом, и требует более эффективной работы при подготовке данного Отчета.</w:t>
      </w:r>
    </w:p>
    <w:p w:rsidR="00280281" w:rsidRPr="003653DF" w:rsidRDefault="00280281" w:rsidP="009D76C5">
      <w:pPr>
        <w:spacing w:after="0" w:line="240" w:lineRule="auto"/>
        <w:jc w:val="both"/>
        <w:rPr>
          <w:rFonts w:ascii="Times New Roman" w:hAnsi="Times New Roman" w:cs="Times New Roman"/>
          <w:sz w:val="24"/>
          <w:szCs w:val="24"/>
        </w:rPr>
      </w:pPr>
    </w:p>
    <w:p w:rsidR="00DB38C8" w:rsidRPr="003653DF" w:rsidRDefault="00DB38C8" w:rsidP="009D76C5">
      <w:pPr>
        <w:tabs>
          <w:tab w:val="left" w:pos="0"/>
        </w:tabs>
        <w:spacing w:after="0" w:line="240" w:lineRule="auto"/>
        <w:jc w:val="both"/>
        <w:rPr>
          <w:rFonts w:ascii="Times New Roman" w:hAnsi="Times New Roman"/>
          <w:b/>
          <w:sz w:val="24"/>
          <w:szCs w:val="24"/>
        </w:rPr>
      </w:pPr>
      <w:r w:rsidRPr="003653DF">
        <w:rPr>
          <w:rFonts w:ascii="Times New Roman" w:hAnsi="Times New Roman"/>
          <w:b/>
          <w:sz w:val="24"/>
          <w:szCs w:val="24"/>
        </w:rPr>
        <w:t>Экспертно-аналитическое мероприятие «Экспертиза и подготовка заключения на отчет Администрации Томской области об аренде и безвозмездном пользование областным государственным имуществом за 2022 год»</w:t>
      </w:r>
    </w:p>
    <w:p w:rsidR="005856B7" w:rsidRPr="003653DF" w:rsidRDefault="008D293B" w:rsidP="009D76C5">
      <w:pPr>
        <w:pStyle w:val="21"/>
        <w:spacing w:after="0" w:line="240" w:lineRule="auto"/>
        <w:ind w:left="0" w:firstLine="567"/>
        <w:jc w:val="both"/>
      </w:pPr>
      <w:r w:rsidRPr="003653DF">
        <w:t xml:space="preserve">В </w:t>
      </w:r>
      <w:r w:rsidR="005856B7" w:rsidRPr="003653DF">
        <w:t>Отчет о результатах передачи в аренду и безвозмездное пользование областного государственного имущества за 2022 год включены все сведения за отчетный период, предусмотренные Закон</w:t>
      </w:r>
      <w:r w:rsidR="00441A2B" w:rsidRPr="003653DF">
        <w:t>ом</w:t>
      </w:r>
      <w:r w:rsidR="005856B7" w:rsidRPr="003653DF">
        <w:t xml:space="preserve"> Томской области «О предоставлении государственного имущества Томской области в аренду и безвозмездное пользование». По итогам рассмотрения</w:t>
      </w:r>
      <w:r w:rsidR="00441A2B" w:rsidRPr="003653DF">
        <w:t xml:space="preserve"> Отчета</w:t>
      </w:r>
      <w:r w:rsidR="005856B7" w:rsidRPr="003653DF">
        <w:t xml:space="preserve">, исходя из проведенного анализа представленных для экспертизы документов, </w:t>
      </w:r>
      <w:r w:rsidR="00441A2B" w:rsidRPr="003653DF">
        <w:t>палатой подготовлены ряд</w:t>
      </w:r>
      <w:r w:rsidR="005856B7" w:rsidRPr="003653DF">
        <w:t xml:space="preserve"> замечани</w:t>
      </w:r>
      <w:r w:rsidR="00441A2B" w:rsidRPr="003653DF">
        <w:t>й</w:t>
      </w:r>
      <w:r w:rsidR="005856B7" w:rsidRPr="003653DF">
        <w:t xml:space="preserve"> и </w:t>
      </w:r>
      <w:r w:rsidR="00441A2B" w:rsidRPr="003653DF">
        <w:t>предложений</w:t>
      </w:r>
      <w:r w:rsidR="005856B7" w:rsidRPr="003653DF">
        <w:t xml:space="preserve"> по уточнению отчетных данных</w:t>
      </w:r>
      <w:r w:rsidR="00441A2B" w:rsidRPr="003653DF">
        <w:t>.</w:t>
      </w:r>
    </w:p>
    <w:p w:rsidR="00DB38C8" w:rsidRPr="003653DF" w:rsidRDefault="00DB38C8" w:rsidP="009D76C5">
      <w:pPr>
        <w:spacing w:after="0" w:line="240" w:lineRule="auto"/>
        <w:jc w:val="both"/>
        <w:rPr>
          <w:rFonts w:ascii="Times New Roman" w:hAnsi="Times New Roman" w:cs="Times New Roman"/>
          <w:sz w:val="24"/>
          <w:szCs w:val="24"/>
        </w:rPr>
      </w:pPr>
    </w:p>
    <w:p w:rsidR="00441A2B" w:rsidRPr="003653DF" w:rsidRDefault="00441A2B" w:rsidP="009D76C5">
      <w:pPr>
        <w:spacing w:after="0" w:line="240" w:lineRule="auto"/>
        <w:jc w:val="both"/>
        <w:rPr>
          <w:rFonts w:ascii="Times New Roman" w:hAnsi="Times New Roman"/>
          <w:b/>
          <w:bCs/>
          <w:sz w:val="24"/>
          <w:szCs w:val="24"/>
        </w:rPr>
      </w:pPr>
      <w:r w:rsidRPr="003653DF">
        <w:rPr>
          <w:rFonts w:ascii="Times New Roman" w:hAnsi="Times New Roman"/>
          <w:b/>
          <w:bCs/>
          <w:sz w:val="24"/>
          <w:szCs w:val="24"/>
        </w:rPr>
        <w:t>Экспертно-аналитическое мероприятие «Экспертиза и подготовка заключения на отчет Администрации Томской области о деятельности областных государственных унитарных предприятий за 2022 год»</w:t>
      </w:r>
    </w:p>
    <w:p w:rsidR="008D293B" w:rsidRPr="003653DF" w:rsidRDefault="008D293B"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 заключении отмечены неточности и предложено внести в отчет ряд дополнений и изменений, в том числе в части: сведений об изменении состава и структуры областных государственных унитарных предприятий в 2022 году; о результатах финансово-хозяйственной деятельности областных государственных унитарных предприятий в 2022 году; согласования собственником имущества (в лице Администрации Томской области, уполномоченного областного органа по управлению областным государственным имуществом) в 2022 году сделок областных государственных унитарных предприятий; суммы части прибыли данных предприятий, остающейся после уплаты налогов и иных обязательных платежей и других.</w:t>
      </w:r>
    </w:p>
    <w:p w:rsidR="00280281" w:rsidRPr="003653DF" w:rsidRDefault="00280281" w:rsidP="009D76C5">
      <w:pPr>
        <w:spacing w:after="0" w:line="240" w:lineRule="auto"/>
        <w:jc w:val="both"/>
        <w:rPr>
          <w:rFonts w:ascii="Times New Roman" w:hAnsi="Times New Roman" w:cs="Times New Roman"/>
          <w:sz w:val="24"/>
          <w:szCs w:val="24"/>
        </w:rPr>
      </w:pPr>
    </w:p>
    <w:p w:rsidR="008D293B" w:rsidRPr="003653DF" w:rsidRDefault="008D293B" w:rsidP="009D76C5">
      <w:pPr>
        <w:spacing w:after="0" w:line="240" w:lineRule="auto"/>
        <w:jc w:val="both"/>
        <w:rPr>
          <w:rFonts w:ascii="Times New Roman" w:hAnsi="Times New Roman"/>
          <w:b/>
          <w:bCs/>
          <w:sz w:val="24"/>
          <w:szCs w:val="24"/>
        </w:rPr>
      </w:pPr>
      <w:r w:rsidRPr="003653DF">
        <w:rPr>
          <w:rFonts w:ascii="Times New Roman" w:hAnsi="Times New Roman"/>
          <w:b/>
          <w:bCs/>
          <w:sz w:val="24"/>
          <w:szCs w:val="24"/>
        </w:rPr>
        <w:t>Экспертно-аналитическое мероприятие «Экспертиза и подготовка заключения на отчет Администрации Томской области об исполнении прогнозного плана (программы) приватизации государственного имущества Томской области за 2022 год»</w:t>
      </w:r>
    </w:p>
    <w:p w:rsidR="008D293B" w:rsidRPr="003653DF" w:rsidRDefault="008D293B"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 Отчет о выполнении прогнозного плана (программы) приватизации государственного имущества Томской области за 2022 год с пояснительной запиской включены все сведения, предусмотренные Законом Томской области «О приватизации государственного имущества Томской области», все отчетные данные достоверны.</w:t>
      </w:r>
    </w:p>
    <w:p w:rsidR="008D293B" w:rsidRPr="003653DF" w:rsidRDefault="008D293B" w:rsidP="009D76C5">
      <w:pPr>
        <w:spacing w:after="0" w:line="240" w:lineRule="auto"/>
        <w:jc w:val="both"/>
        <w:rPr>
          <w:rFonts w:ascii="Times New Roman" w:hAnsi="Times New Roman"/>
          <w:sz w:val="24"/>
          <w:szCs w:val="24"/>
        </w:rPr>
      </w:pPr>
    </w:p>
    <w:p w:rsidR="000D13D1" w:rsidRPr="003653DF" w:rsidRDefault="000D13D1" w:rsidP="009D76C5">
      <w:pPr>
        <w:spacing w:after="0" w:line="240" w:lineRule="auto"/>
        <w:jc w:val="both"/>
        <w:rPr>
          <w:rFonts w:ascii="Times New Roman" w:hAnsi="Times New Roman"/>
          <w:b/>
          <w:bCs/>
          <w:sz w:val="24"/>
          <w:szCs w:val="24"/>
        </w:rPr>
      </w:pPr>
      <w:r w:rsidRPr="003653DF">
        <w:rPr>
          <w:rFonts w:ascii="Times New Roman" w:hAnsi="Times New Roman"/>
          <w:b/>
          <w:bCs/>
          <w:sz w:val="24"/>
          <w:szCs w:val="24"/>
        </w:rPr>
        <w:t>Экспертно-аналитическое мероприятие «Экспертиза государственной программы Томской области «Эффективное управление государственным имуществом Томской области»</w:t>
      </w:r>
    </w:p>
    <w:p w:rsidR="000D13D1" w:rsidRPr="009D76C5" w:rsidRDefault="000D13D1" w:rsidP="009D76C5">
      <w:pPr>
        <w:spacing w:after="0" w:line="240" w:lineRule="auto"/>
        <w:ind w:firstLine="567"/>
        <w:jc w:val="both"/>
        <w:rPr>
          <w:rFonts w:ascii="Times New Roman" w:hAnsi="Times New Roman"/>
          <w:sz w:val="24"/>
          <w:szCs w:val="24"/>
        </w:rPr>
      </w:pPr>
      <w:r w:rsidRPr="009D76C5">
        <w:rPr>
          <w:rFonts w:ascii="Times New Roman" w:hAnsi="Times New Roman"/>
          <w:sz w:val="24"/>
          <w:szCs w:val="24"/>
        </w:rPr>
        <w:t>Цель мероприятия:</w:t>
      </w:r>
    </w:p>
    <w:p w:rsidR="000D13D1" w:rsidRPr="003653DF" w:rsidRDefault="000D13D1" w:rsidP="009D76C5">
      <w:pPr>
        <w:spacing w:after="0" w:line="240" w:lineRule="auto"/>
        <w:jc w:val="both"/>
        <w:rPr>
          <w:rFonts w:ascii="Times New Roman" w:hAnsi="Times New Roman"/>
          <w:sz w:val="24"/>
          <w:szCs w:val="24"/>
        </w:rPr>
      </w:pPr>
      <w:r w:rsidRPr="003653DF">
        <w:rPr>
          <w:rFonts w:ascii="Times New Roman" w:hAnsi="Times New Roman"/>
          <w:sz w:val="24"/>
          <w:szCs w:val="24"/>
        </w:rPr>
        <w:t>- анализ ресурсного обеспечения мероприятий, направленных на реализацию государственной программы, а также анализ и оценка показателей государственной программы и влияние на данные показатели объемов бюджетных ассигнований (изменений объемов бюджетных ассигнований);</w:t>
      </w:r>
    </w:p>
    <w:p w:rsidR="000D13D1" w:rsidRPr="003653DF" w:rsidRDefault="000D13D1" w:rsidP="009D76C5">
      <w:pPr>
        <w:spacing w:after="0" w:line="240" w:lineRule="auto"/>
        <w:jc w:val="both"/>
        <w:rPr>
          <w:rFonts w:ascii="Times New Roman" w:hAnsi="Times New Roman"/>
          <w:sz w:val="24"/>
          <w:szCs w:val="24"/>
        </w:rPr>
      </w:pPr>
      <w:r w:rsidRPr="003653DF">
        <w:rPr>
          <w:rFonts w:ascii="Times New Roman" w:hAnsi="Times New Roman"/>
          <w:sz w:val="24"/>
          <w:szCs w:val="24"/>
        </w:rPr>
        <w:t>- анализ соблюдения Порядка принятия решений о разработке государственных программ Томской области, их формирования и реализации.</w:t>
      </w:r>
    </w:p>
    <w:p w:rsidR="000D13D1" w:rsidRPr="003653DF" w:rsidRDefault="000D13D1" w:rsidP="009D76C5">
      <w:pPr>
        <w:spacing w:after="0" w:line="240" w:lineRule="auto"/>
        <w:ind w:firstLine="567"/>
        <w:jc w:val="both"/>
        <w:rPr>
          <w:rFonts w:ascii="Times New Roman" w:hAnsi="Times New Roman" w:cs="Times New Roman"/>
          <w:sz w:val="24"/>
          <w:szCs w:val="24"/>
        </w:rPr>
      </w:pPr>
      <w:r w:rsidRPr="003653DF">
        <w:rPr>
          <w:rFonts w:ascii="Times New Roman" w:hAnsi="Times New Roman" w:cs="Times New Roman"/>
          <w:sz w:val="24"/>
          <w:szCs w:val="24"/>
        </w:rPr>
        <w:t>По итогам мероприятия выработаны следующие предложения и рекомендации:</w:t>
      </w:r>
    </w:p>
    <w:p w:rsidR="000D13D1" w:rsidRPr="003653DF" w:rsidRDefault="000D13D1" w:rsidP="009D76C5">
      <w:pPr>
        <w:spacing w:after="0" w:line="240" w:lineRule="auto"/>
        <w:jc w:val="both"/>
        <w:rPr>
          <w:rFonts w:ascii="Times New Roman" w:hAnsi="Times New Roman"/>
          <w:sz w:val="24"/>
          <w:szCs w:val="24"/>
        </w:rPr>
      </w:pPr>
      <w:r w:rsidRPr="003653DF">
        <w:rPr>
          <w:rFonts w:ascii="Times New Roman" w:hAnsi="Times New Roman"/>
          <w:sz w:val="24"/>
          <w:szCs w:val="24"/>
        </w:rPr>
        <w:t>- Департаменту по управлению государственной собственностью:</w:t>
      </w:r>
    </w:p>
    <w:p w:rsidR="000D13D1" w:rsidRPr="003653DF" w:rsidRDefault="000D13D1" w:rsidP="009D76C5">
      <w:pPr>
        <w:spacing w:after="0" w:line="240" w:lineRule="auto"/>
        <w:ind w:left="284"/>
        <w:jc w:val="both"/>
        <w:rPr>
          <w:rFonts w:ascii="Times New Roman" w:hAnsi="Times New Roman"/>
          <w:sz w:val="24"/>
          <w:szCs w:val="24"/>
        </w:rPr>
      </w:pPr>
      <w:r w:rsidRPr="003653DF">
        <w:rPr>
          <w:rFonts w:ascii="Times New Roman" w:hAnsi="Times New Roman"/>
          <w:sz w:val="24"/>
          <w:szCs w:val="24"/>
        </w:rPr>
        <w:t xml:space="preserve">- в целях повышения эффективности управления государственным имуществом Томской области разработать мероприятия по увеличению динамики значения показателя цели ГП «Доля областного государственного недвижимого имущества (за исключением земельных участков), используемого для выполнения полномочий Томской области, от недвижимого имущества, находящегося в собственности Томской области, %» для внесения изменения в ГП; </w:t>
      </w:r>
    </w:p>
    <w:p w:rsidR="000D13D1" w:rsidRPr="003653DF" w:rsidRDefault="000D13D1" w:rsidP="009D76C5">
      <w:pPr>
        <w:spacing w:after="0" w:line="240" w:lineRule="auto"/>
        <w:ind w:left="284"/>
        <w:jc w:val="both"/>
        <w:rPr>
          <w:rFonts w:ascii="Times New Roman" w:hAnsi="Times New Roman"/>
          <w:sz w:val="24"/>
          <w:szCs w:val="24"/>
        </w:rPr>
      </w:pPr>
      <w:r w:rsidRPr="003653DF">
        <w:rPr>
          <w:rFonts w:ascii="Times New Roman" w:hAnsi="Times New Roman"/>
          <w:sz w:val="24"/>
          <w:szCs w:val="24"/>
        </w:rPr>
        <w:t>- в целях своевременного использования средств, привлеченных из федерального бюджета в бюджет Томской области, усилить контроль за проведением комплексных кадастровых работ при предоставлении субсидии из областного бюджета местным бюджетам на софинансирование расходных обязательств муниципальных образований Томской области на их выполнение;</w:t>
      </w:r>
    </w:p>
    <w:p w:rsidR="000D13D1" w:rsidRPr="003653DF" w:rsidRDefault="000D13D1" w:rsidP="009D76C5">
      <w:pPr>
        <w:spacing w:after="0" w:line="240" w:lineRule="auto"/>
        <w:ind w:left="284"/>
        <w:jc w:val="both"/>
        <w:rPr>
          <w:rFonts w:ascii="Times New Roman" w:hAnsi="Times New Roman"/>
          <w:sz w:val="24"/>
          <w:szCs w:val="24"/>
        </w:rPr>
      </w:pPr>
      <w:r w:rsidRPr="003653DF">
        <w:rPr>
          <w:rFonts w:ascii="Times New Roman" w:hAnsi="Times New Roman"/>
          <w:sz w:val="24"/>
          <w:szCs w:val="24"/>
        </w:rPr>
        <w:t>- внести изменения в Перечень комплексов процессных мероприятий и ресурсное обеспечение реализации подпрограммы, являющегося составной частью паспорта подпрограммы государственной программы.</w:t>
      </w:r>
    </w:p>
    <w:p w:rsidR="000D13D1" w:rsidRPr="003653DF" w:rsidRDefault="000D13D1" w:rsidP="009D76C5">
      <w:pPr>
        <w:spacing w:after="0" w:line="240" w:lineRule="auto"/>
        <w:jc w:val="both"/>
        <w:rPr>
          <w:sz w:val="26"/>
          <w:szCs w:val="26"/>
        </w:rPr>
      </w:pPr>
      <w:r w:rsidRPr="003653DF">
        <w:rPr>
          <w:rFonts w:ascii="Times New Roman" w:hAnsi="Times New Roman"/>
          <w:sz w:val="24"/>
          <w:szCs w:val="24"/>
        </w:rPr>
        <w:t>- Департаменту экономики рассмотреть вопрос о внесении изменений в Методику оценки эффективности реализации государственных программ Томской области в части изменения критериев качества управления государственной программой, предусматривающих особенности деятельности Департамента по управлению государственной собственностью, а именно отсутствия налоговых льгот, возможности привлечения внебюджетных средств и средств федерального бюджета</w:t>
      </w:r>
      <w:r w:rsidRPr="003653DF">
        <w:rPr>
          <w:sz w:val="26"/>
          <w:szCs w:val="26"/>
        </w:rPr>
        <w:t>.</w:t>
      </w:r>
    </w:p>
    <w:p w:rsidR="000D13D1" w:rsidRPr="003653DF" w:rsidRDefault="000D13D1" w:rsidP="009D76C5">
      <w:pPr>
        <w:spacing w:after="0" w:line="240" w:lineRule="auto"/>
        <w:jc w:val="both"/>
        <w:rPr>
          <w:rFonts w:ascii="Times New Roman" w:hAnsi="Times New Roman"/>
          <w:sz w:val="24"/>
          <w:szCs w:val="24"/>
        </w:rPr>
      </w:pPr>
    </w:p>
    <w:p w:rsidR="008D293B" w:rsidRPr="003653DF" w:rsidRDefault="00862C2A" w:rsidP="009D76C5">
      <w:pPr>
        <w:spacing w:after="0" w:line="240" w:lineRule="auto"/>
        <w:jc w:val="both"/>
        <w:rPr>
          <w:rFonts w:ascii="Times New Roman" w:hAnsi="Times New Roman"/>
          <w:b/>
          <w:bCs/>
          <w:sz w:val="24"/>
          <w:szCs w:val="24"/>
        </w:rPr>
      </w:pPr>
      <w:r w:rsidRPr="003653DF">
        <w:rPr>
          <w:rFonts w:ascii="Times New Roman" w:hAnsi="Times New Roman"/>
          <w:b/>
          <w:bCs/>
          <w:sz w:val="24"/>
          <w:szCs w:val="24"/>
        </w:rPr>
        <w:t>Контрольное мероприятие «Проверка использования средств областного бюджета, предоставленных Областному государственному автономному учреждению культуры «Томский областной ордена Трудового Красного Знамени театр драмы» на работы по капитальному ремонту здания (ремонт кровли)» за 2022 год</w:t>
      </w:r>
    </w:p>
    <w:p w:rsidR="00862C2A" w:rsidRPr="003653DF" w:rsidRDefault="00862C2A" w:rsidP="009D76C5">
      <w:pPr>
        <w:spacing w:after="0" w:line="240" w:lineRule="auto"/>
        <w:ind w:firstLine="567"/>
        <w:jc w:val="both"/>
        <w:rPr>
          <w:rFonts w:ascii="Times New Roman" w:hAnsi="Times New Roman"/>
          <w:sz w:val="24"/>
          <w:szCs w:val="24"/>
        </w:rPr>
      </w:pPr>
      <w:r w:rsidRPr="003653DF">
        <w:rPr>
          <w:rFonts w:ascii="Times New Roman" w:hAnsi="Times New Roman"/>
          <w:bCs/>
          <w:sz w:val="24"/>
          <w:szCs w:val="24"/>
        </w:rPr>
        <w:t>Объекты проверки:</w:t>
      </w:r>
    </w:p>
    <w:p w:rsidR="00862C2A" w:rsidRPr="003653DF" w:rsidRDefault="00DE4F63" w:rsidP="009D76C5">
      <w:pPr>
        <w:spacing w:after="0" w:line="240" w:lineRule="auto"/>
        <w:jc w:val="both"/>
        <w:rPr>
          <w:rFonts w:ascii="Times New Roman" w:hAnsi="Times New Roman"/>
          <w:sz w:val="24"/>
          <w:szCs w:val="24"/>
        </w:rPr>
      </w:pPr>
      <w:r w:rsidRPr="003653DF">
        <w:rPr>
          <w:rFonts w:ascii="Times New Roman" w:hAnsi="Times New Roman"/>
          <w:sz w:val="24"/>
          <w:szCs w:val="24"/>
        </w:rPr>
        <w:t xml:space="preserve">- </w:t>
      </w:r>
      <w:r w:rsidR="00415799" w:rsidRPr="003653DF">
        <w:rPr>
          <w:rFonts w:ascii="Times New Roman" w:hAnsi="Times New Roman"/>
          <w:sz w:val="24"/>
          <w:szCs w:val="24"/>
        </w:rPr>
        <w:t>ОГАУК «</w:t>
      </w:r>
      <w:r w:rsidR="00862C2A" w:rsidRPr="003653DF">
        <w:rPr>
          <w:rFonts w:ascii="Times New Roman" w:hAnsi="Times New Roman"/>
          <w:sz w:val="24"/>
          <w:szCs w:val="24"/>
        </w:rPr>
        <w:t>Томский областной ордена Трудового Красного Знамени театр драмы</w:t>
      </w:r>
      <w:r w:rsidR="00415799" w:rsidRPr="003653DF">
        <w:rPr>
          <w:rFonts w:ascii="Times New Roman" w:hAnsi="Times New Roman"/>
          <w:sz w:val="24"/>
          <w:szCs w:val="24"/>
        </w:rPr>
        <w:t>»</w:t>
      </w:r>
      <w:r w:rsidR="00862C2A" w:rsidRPr="003653DF">
        <w:rPr>
          <w:rFonts w:ascii="Times New Roman" w:hAnsi="Times New Roman"/>
          <w:sz w:val="24"/>
          <w:szCs w:val="24"/>
        </w:rPr>
        <w:t>,</w:t>
      </w:r>
    </w:p>
    <w:p w:rsidR="00862C2A" w:rsidRPr="003653DF" w:rsidRDefault="00DE4F63" w:rsidP="009D76C5">
      <w:pPr>
        <w:spacing w:after="0" w:line="240" w:lineRule="auto"/>
        <w:jc w:val="both"/>
        <w:rPr>
          <w:rFonts w:ascii="Times New Roman" w:hAnsi="Times New Roman"/>
          <w:sz w:val="24"/>
          <w:szCs w:val="24"/>
        </w:rPr>
      </w:pPr>
      <w:r w:rsidRPr="003653DF">
        <w:rPr>
          <w:rFonts w:ascii="Times New Roman" w:hAnsi="Times New Roman"/>
          <w:sz w:val="24"/>
          <w:szCs w:val="24"/>
        </w:rPr>
        <w:t xml:space="preserve">- </w:t>
      </w:r>
      <w:r w:rsidR="00862C2A" w:rsidRPr="003653DF">
        <w:rPr>
          <w:rFonts w:ascii="Times New Roman" w:hAnsi="Times New Roman"/>
          <w:sz w:val="24"/>
          <w:szCs w:val="24"/>
        </w:rPr>
        <w:t>Департамент по культуре Томской области.</w:t>
      </w:r>
    </w:p>
    <w:p w:rsidR="00EE5744" w:rsidRPr="003653DF" w:rsidRDefault="00EE5744"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Расходы на капитальный ремонт здания Томский областной ордена Трудового Красного Знамени театр драмы запланированы ГП «Развитие культуры в Томской области» в общей сумме 39,8 млн.руб.</w:t>
      </w:r>
    </w:p>
    <w:p w:rsidR="00EE5744" w:rsidRPr="003653DF" w:rsidRDefault="00EE5744"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 ходе мероприятия выявлены такие нарушения (недостатки)</w:t>
      </w:r>
      <w:r w:rsidR="003B372C">
        <w:rPr>
          <w:rFonts w:ascii="Times New Roman" w:hAnsi="Times New Roman"/>
          <w:sz w:val="24"/>
          <w:szCs w:val="24"/>
        </w:rPr>
        <w:t>,</w:t>
      </w:r>
      <w:r w:rsidRPr="003653DF">
        <w:rPr>
          <w:rFonts w:ascii="Times New Roman" w:hAnsi="Times New Roman"/>
          <w:sz w:val="24"/>
          <w:szCs w:val="24"/>
        </w:rPr>
        <w:t xml:space="preserve"> как: завышение сметной стоимости на 1,3 млн. руб.,</w:t>
      </w:r>
      <w:r w:rsidR="00415799" w:rsidRPr="003653DF">
        <w:rPr>
          <w:rFonts w:ascii="Times New Roman" w:hAnsi="Times New Roman"/>
          <w:sz w:val="24"/>
          <w:szCs w:val="24"/>
        </w:rPr>
        <w:t xml:space="preserve"> </w:t>
      </w:r>
      <w:r w:rsidRPr="003653DF">
        <w:rPr>
          <w:rFonts w:ascii="Times New Roman" w:hAnsi="Times New Roman"/>
          <w:sz w:val="24"/>
          <w:szCs w:val="24"/>
        </w:rPr>
        <w:t>использование неверного индекса-дефлятора при определении начальной максимальной цены договора,</w:t>
      </w:r>
      <w:r w:rsidR="00415799" w:rsidRPr="003653DF">
        <w:rPr>
          <w:rFonts w:ascii="Times New Roman" w:hAnsi="Times New Roman"/>
          <w:sz w:val="24"/>
          <w:szCs w:val="24"/>
        </w:rPr>
        <w:t xml:space="preserve"> </w:t>
      </w:r>
      <w:r w:rsidRPr="003653DF">
        <w:rPr>
          <w:rFonts w:ascii="Times New Roman" w:hAnsi="Times New Roman"/>
          <w:sz w:val="24"/>
          <w:szCs w:val="24"/>
        </w:rPr>
        <w:t>некорректное формирование сводного сметного расчета (включение заказчиком повышающего «договорного» коэффициента) и актов КС-2 (применение понижающего коэффициента),</w:t>
      </w:r>
      <w:r w:rsidR="00415799" w:rsidRPr="003653DF">
        <w:rPr>
          <w:rFonts w:ascii="Times New Roman" w:hAnsi="Times New Roman"/>
          <w:sz w:val="24"/>
          <w:szCs w:val="24"/>
        </w:rPr>
        <w:t xml:space="preserve"> </w:t>
      </w:r>
      <w:r w:rsidRPr="003653DF">
        <w:rPr>
          <w:rFonts w:ascii="Times New Roman" w:hAnsi="Times New Roman"/>
          <w:sz w:val="24"/>
          <w:szCs w:val="24"/>
        </w:rPr>
        <w:t>несоблюдение срока приведения ГП в соответствие со сводной бюджетной росписью,</w:t>
      </w:r>
      <w:r w:rsidR="00415799" w:rsidRPr="003653DF">
        <w:rPr>
          <w:rFonts w:ascii="Times New Roman" w:hAnsi="Times New Roman"/>
          <w:sz w:val="24"/>
          <w:szCs w:val="24"/>
        </w:rPr>
        <w:t xml:space="preserve"> </w:t>
      </w:r>
      <w:r w:rsidRPr="003653DF">
        <w:rPr>
          <w:rFonts w:ascii="Times New Roman" w:hAnsi="Times New Roman"/>
          <w:sz w:val="24"/>
          <w:szCs w:val="24"/>
        </w:rPr>
        <w:t>завышение объемов стоимости работ на сумму 1,2 млн.руб.</w:t>
      </w:r>
      <w:r w:rsidR="00415799" w:rsidRPr="003653DF">
        <w:rPr>
          <w:rFonts w:ascii="Times New Roman" w:hAnsi="Times New Roman"/>
          <w:sz w:val="24"/>
          <w:szCs w:val="24"/>
        </w:rPr>
        <w:t xml:space="preserve"> и другие.</w:t>
      </w:r>
    </w:p>
    <w:p w:rsidR="00EE5744" w:rsidRPr="003653DF" w:rsidRDefault="00415799"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О</w:t>
      </w:r>
      <w:r w:rsidR="00EE5744" w:rsidRPr="003653DF">
        <w:rPr>
          <w:rFonts w:ascii="Times New Roman" w:hAnsi="Times New Roman"/>
          <w:sz w:val="24"/>
          <w:szCs w:val="24"/>
        </w:rPr>
        <w:t xml:space="preserve">бщий объем излишне оплаченных подрядной организации средств областного бюджета, с учетом понижающего коэффициента, предусмотренного договором, составил </w:t>
      </w:r>
      <w:r w:rsidRPr="003653DF">
        <w:rPr>
          <w:rFonts w:ascii="Times New Roman" w:hAnsi="Times New Roman"/>
          <w:sz w:val="24"/>
          <w:szCs w:val="24"/>
        </w:rPr>
        <w:t>0,8</w:t>
      </w:r>
      <w:r w:rsidR="00EE5744" w:rsidRPr="003653DF">
        <w:rPr>
          <w:rFonts w:ascii="Times New Roman" w:hAnsi="Times New Roman"/>
          <w:sz w:val="24"/>
          <w:szCs w:val="24"/>
        </w:rPr>
        <w:t xml:space="preserve"> </w:t>
      </w:r>
      <w:r w:rsidRPr="003653DF">
        <w:rPr>
          <w:rFonts w:ascii="Times New Roman" w:hAnsi="Times New Roman"/>
          <w:sz w:val="24"/>
          <w:szCs w:val="24"/>
        </w:rPr>
        <w:t>млн</w:t>
      </w:r>
      <w:r w:rsidR="00EE5744" w:rsidRPr="003653DF">
        <w:rPr>
          <w:rFonts w:ascii="Times New Roman" w:hAnsi="Times New Roman"/>
          <w:sz w:val="24"/>
          <w:szCs w:val="24"/>
        </w:rPr>
        <w:t>.руб.</w:t>
      </w:r>
      <w:r w:rsidRPr="003653DF">
        <w:rPr>
          <w:rFonts w:ascii="Times New Roman" w:hAnsi="Times New Roman"/>
          <w:sz w:val="24"/>
          <w:szCs w:val="24"/>
        </w:rPr>
        <w:t>, который в</w:t>
      </w:r>
      <w:r w:rsidR="00EE5744" w:rsidRPr="003653DF">
        <w:rPr>
          <w:rFonts w:ascii="Times New Roman" w:hAnsi="Times New Roman"/>
          <w:sz w:val="24"/>
          <w:szCs w:val="24"/>
        </w:rPr>
        <w:t xml:space="preserve"> ходе мероприятия возвращен в доход областного бюджета</w:t>
      </w:r>
      <w:r w:rsidRPr="003653DF">
        <w:rPr>
          <w:rFonts w:ascii="Times New Roman" w:hAnsi="Times New Roman"/>
          <w:sz w:val="24"/>
          <w:szCs w:val="24"/>
        </w:rPr>
        <w:t>.</w:t>
      </w:r>
    </w:p>
    <w:p w:rsidR="00415799" w:rsidRPr="003653DF" w:rsidRDefault="00415799" w:rsidP="009D76C5">
      <w:pPr>
        <w:spacing w:after="0" w:line="240" w:lineRule="auto"/>
        <w:jc w:val="both"/>
        <w:rPr>
          <w:rFonts w:ascii="Times New Roman" w:hAnsi="Times New Roman"/>
          <w:sz w:val="24"/>
          <w:szCs w:val="24"/>
        </w:rPr>
      </w:pPr>
    </w:p>
    <w:p w:rsidR="00415799" w:rsidRPr="003653DF" w:rsidRDefault="00415799" w:rsidP="009D76C5">
      <w:pPr>
        <w:spacing w:after="0" w:line="240" w:lineRule="auto"/>
        <w:jc w:val="both"/>
        <w:rPr>
          <w:rFonts w:ascii="Times New Roman" w:hAnsi="Times New Roman"/>
          <w:b/>
          <w:bCs/>
          <w:sz w:val="24"/>
          <w:szCs w:val="24"/>
        </w:rPr>
      </w:pPr>
      <w:r w:rsidRPr="003653DF">
        <w:rPr>
          <w:rFonts w:ascii="Times New Roman" w:hAnsi="Times New Roman"/>
          <w:b/>
          <w:bCs/>
          <w:sz w:val="24"/>
          <w:szCs w:val="24"/>
        </w:rPr>
        <w:t>Контрольное мероприятие «Проверка использования средств областного бюджета, предоставленных Областному государственному казенному учреждению «Центр занятости населения города Асино» на работы по капитальному ремонту»</w:t>
      </w:r>
    </w:p>
    <w:p w:rsidR="00415799" w:rsidRPr="003653DF" w:rsidRDefault="00415799"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Расходы на капитальный ремонт Центра занятости запланированы ГП «Развитие рынка труда в Томской области» в сумме 12,5 млн.руб.</w:t>
      </w:r>
    </w:p>
    <w:p w:rsidR="00FD6D4E" w:rsidRPr="003653DF" w:rsidRDefault="00FD6D4E"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Палатой осуществлен выезд на проверяемый объект для проведения выборочных контрольных обмеров выполненных работ и визуального осмотра строительно-монтажных работ, выполненных подрядной организацией.</w:t>
      </w:r>
    </w:p>
    <w:p w:rsidR="00FD6D4E" w:rsidRPr="003653DF" w:rsidRDefault="00FD6D4E"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Помещения Центра занятости населения расположены на 1 этаже пятиэтажного многоквартирного жилого дома. Объект эксплуатируется по своему функциональному назначению, работы по капитальному ремонту завершены.</w:t>
      </w:r>
    </w:p>
    <w:p w:rsidR="00FD6D4E" w:rsidRPr="003653DF" w:rsidRDefault="00FD6D4E"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Расхождений видов, фактически выполненных и принятых по актам формы КС-2, ремонтно-строительных работ контрольными обмерами не установлено.</w:t>
      </w:r>
    </w:p>
    <w:p w:rsidR="00FD6D4E" w:rsidRPr="003653DF" w:rsidRDefault="00FD6D4E"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Визуальным осмотром тамбура эвакуационного выхода Центра занятости населения выявлено, что на стенах (дверной откос) с двух сторон от наружного дверного проема имеются глубокие вертикальные трещины шириной открытия до 1-2 мм длиной на всю высоту проема. </w:t>
      </w:r>
    </w:p>
    <w:p w:rsidR="00FD6D4E" w:rsidRPr="003653DF" w:rsidRDefault="00FD6D4E"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Наружная стена (фасад) является имуществом многоквартирного дома.</w:t>
      </w:r>
    </w:p>
    <w:p w:rsidR="00FD6D4E" w:rsidRPr="003653DF" w:rsidRDefault="00FD6D4E"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 ходе мероприятия выявлены такие нарушения (недостатки)</w:t>
      </w:r>
      <w:r w:rsidR="003B372C">
        <w:rPr>
          <w:rFonts w:ascii="Times New Roman" w:hAnsi="Times New Roman"/>
          <w:sz w:val="24"/>
          <w:szCs w:val="24"/>
        </w:rPr>
        <w:t>,</w:t>
      </w:r>
      <w:r w:rsidRPr="003653DF">
        <w:rPr>
          <w:rFonts w:ascii="Times New Roman" w:hAnsi="Times New Roman"/>
          <w:sz w:val="24"/>
          <w:szCs w:val="24"/>
        </w:rPr>
        <w:t xml:space="preserve"> как: формальное проведение экспертизы исполнения контракта, занижение размера неустойки по контракту, несоблюдение срока размещения информации в ЕИС, несоблюдение условий контракта (приемка работ без гарантийных обязательств, продление срока без обеспечения и др.), некорректное формирование значения показателя результативности мероприятия регионального проекта и другие.</w:t>
      </w:r>
    </w:p>
    <w:p w:rsidR="00FD6D4E" w:rsidRPr="003653DF" w:rsidRDefault="00FD6D4E" w:rsidP="009D76C5">
      <w:pPr>
        <w:spacing w:after="0" w:line="240" w:lineRule="auto"/>
        <w:jc w:val="both"/>
        <w:rPr>
          <w:rFonts w:ascii="Times New Roman" w:hAnsi="Times New Roman"/>
          <w:b/>
          <w:bCs/>
          <w:sz w:val="24"/>
          <w:szCs w:val="24"/>
        </w:rPr>
      </w:pPr>
    </w:p>
    <w:p w:rsidR="00FD6D4E" w:rsidRPr="003653DF" w:rsidRDefault="00FD6D4E" w:rsidP="009D76C5">
      <w:pPr>
        <w:spacing w:after="0" w:line="240" w:lineRule="auto"/>
        <w:jc w:val="both"/>
        <w:rPr>
          <w:rFonts w:ascii="Times New Roman" w:hAnsi="Times New Roman"/>
          <w:b/>
          <w:bCs/>
          <w:sz w:val="24"/>
          <w:szCs w:val="24"/>
        </w:rPr>
      </w:pPr>
      <w:r w:rsidRPr="003653DF">
        <w:rPr>
          <w:rFonts w:ascii="Times New Roman" w:hAnsi="Times New Roman"/>
          <w:b/>
          <w:bCs/>
          <w:sz w:val="24"/>
          <w:szCs w:val="24"/>
        </w:rPr>
        <w:t>Контрольное мероприятие «Проверка использования средств областного бюджета, предоставленных Администрация Первомайского района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 в 2022 году (выборочно)»</w:t>
      </w:r>
    </w:p>
    <w:p w:rsidR="00610CBC" w:rsidRPr="003653DF" w:rsidRDefault="00610CBC" w:rsidP="009D76C5">
      <w:pPr>
        <w:spacing w:after="0" w:line="240" w:lineRule="auto"/>
        <w:ind w:firstLine="567"/>
        <w:jc w:val="both"/>
        <w:rPr>
          <w:rFonts w:ascii="Times New Roman" w:hAnsi="Times New Roman"/>
          <w:sz w:val="24"/>
          <w:szCs w:val="24"/>
        </w:rPr>
      </w:pPr>
      <w:r w:rsidRPr="003653DF">
        <w:rPr>
          <w:rFonts w:ascii="Times New Roman" w:hAnsi="Times New Roman"/>
          <w:bCs/>
          <w:sz w:val="24"/>
          <w:szCs w:val="24"/>
        </w:rPr>
        <w:t>Объекты проверки:</w:t>
      </w:r>
    </w:p>
    <w:p w:rsidR="00610CBC" w:rsidRPr="003653DF" w:rsidRDefault="00610CBC" w:rsidP="009D76C5">
      <w:pPr>
        <w:spacing w:after="0" w:line="240" w:lineRule="auto"/>
        <w:jc w:val="both"/>
        <w:rPr>
          <w:rFonts w:ascii="Times New Roman" w:hAnsi="Times New Roman"/>
          <w:sz w:val="24"/>
          <w:szCs w:val="24"/>
        </w:rPr>
      </w:pPr>
      <w:r w:rsidRPr="003653DF">
        <w:rPr>
          <w:rFonts w:ascii="Times New Roman" w:hAnsi="Times New Roman"/>
          <w:sz w:val="24"/>
          <w:szCs w:val="24"/>
        </w:rPr>
        <w:t>- Администрация Первомайского района,</w:t>
      </w:r>
    </w:p>
    <w:p w:rsidR="00610CBC" w:rsidRPr="003653DF" w:rsidRDefault="00610CBC" w:rsidP="009D76C5">
      <w:pPr>
        <w:spacing w:after="0" w:line="240" w:lineRule="auto"/>
        <w:jc w:val="both"/>
        <w:rPr>
          <w:rFonts w:ascii="Times New Roman" w:hAnsi="Times New Roman"/>
          <w:sz w:val="24"/>
          <w:szCs w:val="24"/>
        </w:rPr>
      </w:pPr>
      <w:r w:rsidRPr="003653DF">
        <w:rPr>
          <w:rFonts w:ascii="Times New Roman" w:hAnsi="Times New Roman"/>
          <w:sz w:val="24"/>
          <w:szCs w:val="24"/>
        </w:rPr>
        <w:t>- Департамент транспорта, дорожной деятельности и связи Томской области.</w:t>
      </w:r>
    </w:p>
    <w:p w:rsidR="00610CBC" w:rsidRPr="003653DF" w:rsidRDefault="00610CBC"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В рамках реализации ГП «Развитие транспортной инфраструктуры в Томской области» Департаментом транспорта предоставлен межбюджетный трансферт </w:t>
      </w:r>
      <w:r w:rsidR="00026A6F" w:rsidRPr="003653DF">
        <w:rPr>
          <w:rFonts w:ascii="Times New Roman" w:hAnsi="Times New Roman"/>
          <w:sz w:val="24"/>
          <w:szCs w:val="24"/>
        </w:rPr>
        <w:t xml:space="preserve">бюджету </w:t>
      </w:r>
      <w:r w:rsidRPr="003653DF">
        <w:rPr>
          <w:rFonts w:ascii="Times New Roman" w:hAnsi="Times New Roman"/>
          <w:sz w:val="24"/>
          <w:szCs w:val="24"/>
        </w:rPr>
        <w:t>муниципально</w:t>
      </w:r>
      <w:r w:rsidR="00026A6F" w:rsidRPr="003653DF">
        <w:rPr>
          <w:rFonts w:ascii="Times New Roman" w:hAnsi="Times New Roman"/>
          <w:sz w:val="24"/>
          <w:szCs w:val="24"/>
        </w:rPr>
        <w:t>го</w:t>
      </w:r>
      <w:r w:rsidRPr="003653DF">
        <w:rPr>
          <w:rFonts w:ascii="Times New Roman" w:hAnsi="Times New Roman"/>
          <w:sz w:val="24"/>
          <w:szCs w:val="24"/>
        </w:rPr>
        <w:t xml:space="preserve"> образовани</w:t>
      </w:r>
      <w:r w:rsidR="00026A6F" w:rsidRPr="003653DF">
        <w:rPr>
          <w:rFonts w:ascii="Times New Roman" w:hAnsi="Times New Roman"/>
          <w:sz w:val="24"/>
          <w:szCs w:val="24"/>
        </w:rPr>
        <w:t>я</w:t>
      </w:r>
      <w:r w:rsidRPr="003653DF">
        <w:rPr>
          <w:rFonts w:ascii="Times New Roman" w:hAnsi="Times New Roman"/>
          <w:sz w:val="24"/>
          <w:szCs w:val="24"/>
        </w:rPr>
        <w:t xml:space="preserve"> «Первомайский район» на финансирование работ по капитальному ремонту и (или) ремонту автомобильных дорог общего пользования местного значения в 2022 году в сумме 27 000,0 тыс. руб.</w:t>
      </w:r>
    </w:p>
    <w:p w:rsidR="00610CBC" w:rsidRPr="003653DF" w:rsidRDefault="00610CBC"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Палатой проведена проверка реализации объекта «Ремонт автомобильных дорог на территории муниципального образования «Первомайский район» в части ремонта участка автомобильной дороги д. Вознесенка от дома № 27 до дома № 2+40 метров» с финансированием в сумме 2 897,257 тыс. руб., из которых:</w:t>
      </w:r>
    </w:p>
    <w:p w:rsidR="00610CBC" w:rsidRPr="003653DF" w:rsidRDefault="00610CBC"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- 2 752,394 тыс. руб. средства субсидии из областного бюджета;</w:t>
      </w:r>
    </w:p>
    <w:p w:rsidR="00610CBC" w:rsidRPr="003653DF" w:rsidRDefault="00610CBC"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- 144,863 тыс. руб. средства местного бюджета.</w:t>
      </w:r>
    </w:p>
    <w:p w:rsidR="00610CBC" w:rsidRPr="003653DF" w:rsidRDefault="00610CBC"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 ходе мероприятия выявлены такие нарушения (недостатки)</w:t>
      </w:r>
      <w:r w:rsidR="003B372C">
        <w:rPr>
          <w:rFonts w:ascii="Times New Roman" w:hAnsi="Times New Roman"/>
          <w:sz w:val="24"/>
          <w:szCs w:val="24"/>
        </w:rPr>
        <w:t>,</w:t>
      </w:r>
      <w:r w:rsidRPr="003653DF">
        <w:rPr>
          <w:rFonts w:ascii="Times New Roman" w:hAnsi="Times New Roman"/>
          <w:sz w:val="24"/>
          <w:szCs w:val="24"/>
        </w:rPr>
        <w:t xml:space="preserve"> как: </w:t>
      </w:r>
    </w:p>
    <w:p w:rsidR="00610CBC" w:rsidRPr="003653DF" w:rsidRDefault="00610CBC" w:rsidP="009D76C5">
      <w:pPr>
        <w:spacing w:after="0" w:line="240" w:lineRule="auto"/>
        <w:jc w:val="both"/>
        <w:rPr>
          <w:rFonts w:ascii="Times New Roman" w:hAnsi="Times New Roman"/>
          <w:sz w:val="24"/>
          <w:szCs w:val="24"/>
        </w:rPr>
      </w:pPr>
      <w:r w:rsidRPr="003653DF">
        <w:rPr>
          <w:rFonts w:ascii="Times New Roman" w:hAnsi="Times New Roman"/>
          <w:sz w:val="24"/>
          <w:szCs w:val="24"/>
        </w:rPr>
        <w:t>- (Администраци</w:t>
      </w:r>
      <w:r w:rsidR="00D64BD0" w:rsidRPr="003653DF">
        <w:rPr>
          <w:rFonts w:ascii="Times New Roman" w:hAnsi="Times New Roman"/>
          <w:sz w:val="24"/>
          <w:szCs w:val="24"/>
        </w:rPr>
        <w:t>я</w:t>
      </w:r>
      <w:r w:rsidRPr="003653DF">
        <w:rPr>
          <w:rFonts w:ascii="Times New Roman" w:hAnsi="Times New Roman"/>
          <w:sz w:val="24"/>
          <w:szCs w:val="24"/>
        </w:rPr>
        <w:t xml:space="preserve"> района): несоблюдение срока предоставления до</w:t>
      </w:r>
      <w:r w:rsidR="00D64BD0" w:rsidRPr="003653DF">
        <w:rPr>
          <w:rFonts w:ascii="Times New Roman" w:hAnsi="Times New Roman"/>
          <w:sz w:val="24"/>
          <w:szCs w:val="24"/>
        </w:rPr>
        <w:t xml:space="preserve">кументов для получения субсидии; </w:t>
      </w:r>
      <w:r w:rsidRPr="003653DF">
        <w:rPr>
          <w:rFonts w:ascii="Times New Roman" w:hAnsi="Times New Roman"/>
          <w:sz w:val="24"/>
          <w:szCs w:val="24"/>
        </w:rPr>
        <w:t>некачественна</w:t>
      </w:r>
      <w:r w:rsidR="00D64BD0" w:rsidRPr="003653DF">
        <w:rPr>
          <w:rFonts w:ascii="Times New Roman" w:hAnsi="Times New Roman"/>
          <w:sz w:val="24"/>
          <w:szCs w:val="24"/>
        </w:rPr>
        <w:t>я</w:t>
      </w:r>
      <w:r w:rsidRPr="003653DF">
        <w:rPr>
          <w:rFonts w:ascii="Times New Roman" w:hAnsi="Times New Roman"/>
          <w:sz w:val="24"/>
          <w:szCs w:val="24"/>
        </w:rPr>
        <w:t xml:space="preserve"> подготовка распоряжения об установлении расходного обязательства, муниципальной программы, соглашения о предоставлении субсидии</w:t>
      </w:r>
      <w:r w:rsidR="00D64BD0" w:rsidRPr="003653DF">
        <w:rPr>
          <w:rFonts w:ascii="Times New Roman" w:hAnsi="Times New Roman"/>
          <w:sz w:val="24"/>
          <w:szCs w:val="24"/>
        </w:rPr>
        <w:t xml:space="preserve">; </w:t>
      </w:r>
      <w:r w:rsidRPr="003653DF">
        <w:rPr>
          <w:rFonts w:ascii="Times New Roman" w:hAnsi="Times New Roman"/>
          <w:sz w:val="24"/>
          <w:szCs w:val="24"/>
        </w:rPr>
        <w:t>осуществление ремонта участка дороги, не относящегося к объектам ремонта, за счет экономии бюджетных средств</w:t>
      </w:r>
      <w:r w:rsidR="00D64BD0" w:rsidRPr="003653DF">
        <w:rPr>
          <w:rFonts w:ascii="Times New Roman" w:hAnsi="Times New Roman"/>
          <w:sz w:val="24"/>
          <w:szCs w:val="24"/>
        </w:rPr>
        <w:t xml:space="preserve">; </w:t>
      </w:r>
      <w:r w:rsidRPr="003653DF">
        <w:rPr>
          <w:rFonts w:ascii="Times New Roman" w:hAnsi="Times New Roman"/>
          <w:sz w:val="24"/>
          <w:szCs w:val="24"/>
        </w:rPr>
        <w:t>завышение показателя результативности использования субсидии</w:t>
      </w:r>
      <w:r w:rsidR="00D64BD0" w:rsidRPr="003653DF">
        <w:rPr>
          <w:rFonts w:ascii="Times New Roman" w:hAnsi="Times New Roman"/>
          <w:sz w:val="24"/>
          <w:szCs w:val="24"/>
        </w:rPr>
        <w:t xml:space="preserve">; </w:t>
      </w:r>
      <w:r w:rsidRPr="003653DF">
        <w:rPr>
          <w:rFonts w:ascii="Times New Roman" w:hAnsi="Times New Roman"/>
          <w:sz w:val="24"/>
          <w:szCs w:val="24"/>
        </w:rPr>
        <w:t xml:space="preserve">некорректное применение ФЕР для нового строительства </w:t>
      </w:r>
      <w:r w:rsidR="00D64BD0" w:rsidRPr="003653DF">
        <w:rPr>
          <w:rFonts w:ascii="Times New Roman" w:hAnsi="Times New Roman"/>
          <w:sz w:val="24"/>
          <w:szCs w:val="24"/>
        </w:rPr>
        <w:t xml:space="preserve">вместо </w:t>
      </w:r>
      <w:proofErr w:type="spellStart"/>
      <w:r w:rsidR="00D64BD0" w:rsidRPr="003653DF">
        <w:rPr>
          <w:rFonts w:ascii="Times New Roman" w:hAnsi="Times New Roman"/>
          <w:sz w:val="24"/>
          <w:szCs w:val="24"/>
        </w:rPr>
        <w:t>ФЕРр</w:t>
      </w:r>
      <w:proofErr w:type="spellEnd"/>
      <w:r w:rsidR="00D64BD0" w:rsidRPr="003653DF">
        <w:rPr>
          <w:rFonts w:ascii="Times New Roman" w:hAnsi="Times New Roman"/>
          <w:sz w:val="24"/>
          <w:szCs w:val="24"/>
        </w:rPr>
        <w:t xml:space="preserve"> на ремонтные работы; </w:t>
      </w:r>
      <w:r w:rsidRPr="003653DF">
        <w:rPr>
          <w:rFonts w:ascii="Times New Roman" w:hAnsi="Times New Roman"/>
          <w:sz w:val="24"/>
          <w:szCs w:val="24"/>
        </w:rPr>
        <w:t>некачественное выполнение работ на участках (установлено в ходе обследования)</w:t>
      </w:r>
      <w:r w:rsidR="00D64BD0" w:rsidRPr="003653DF">
        <w:rPr>
          <w:rFonts w:ascii="Times New Roman" w:hAnsi="Times New Roman"/>
          <w:sz w:val="24"/>
          <w:szCs w:val="24"/>
        </w:rPr>
        <w:t xml:space="preserve">; </w:t>
      </w:r>
      <w:r w:rsidRPr="003653DF">
        <w:rPr>
          <w:rFonts w:ascii="Times New Roman" w:hAnsi="Times New Roman"/>
          <w:sz w:val="24"/>
          <w:szCs w:val="24"/>
        </w:rPr>
        <w:t xml:space="preserve">выполнение и оплата работ, не предусмотренных ПСД, </w:t>
      </w:r>
      <w:r w:rsidRPr="003653DF">
        <w:rPr>
          <w:rFonts w:ascii="Times New Roman" w:hAnsi="Times New Roman"/>
          <w:i/>
          <w:iCs/>
          <w:sz w:val="24"/>
          <w:szCs w:val="24"/>
        </w:rPr>
        <w:t>на сумму 0,2 млн.руб (Н</w:t>
      </w:r>
      <w:r w:rsidR="00D64BD0" w:rsidRPr="003653DF">
        <w:rPr>
          <w:rFonts w:ascii="Times New Roman" w:hAnsi="Times New Roman"/>
          <w:i/>
          <w:iCs/>
          <w:sz w:val="24"/>
          <w:szCs w:val="24"/>
        </w:rPr>
        <w:t>е</w:t>
      </w:r>
      <w:r w:rsidRPr="003653DF">
        <w:rPr>
          <w:rFonts w:ascii="Times New Roman" w:hAnsi="Times New Roman"/>
          <w:i/>
          <w:iCs/>
          <w:sz w:val="24"/>
          <w:szCs w:val="24"/>
        </w:rPr>
        <w:t>ц</w:t>
      </w:r>
      <w:r w:rsidR="00D64BD0" w:rsidRPr="003653DF">
        <w:rPr>
          <w:rFonts w:ascii="Times New Roman" w:hAnsi="Times New Roman"/>
          <w:i/>
          <w:iCs/>
          <w:sz w:val="24"/>
          <w:szCs w:val="24"/>
        </w:rPr>
        <w:t>елевое использование бюджетных средств</w:t>
      </w:r>
      <w:r w:rsidRPr="003653DF">
        <w:rPr>
          <w:rFonts w:ascii="Times New Roman" w:hAnsi="Times New Roman"/>
          <w:i/>
          <w:iCs/>
          <w:sz w:val="24"/>
          <w:szCs w:val="24"/>
        </w:rPr>
        <w:t>)</w:t>
      </w:r>
      <w:r w:rsidR="00D64BD0" w:rsidRPr="003653DF">
        <w:rPr>
          <w:rFonts w:ascii="Times New Roman" w:hAnsi="Times New Roman"/>
          <w:i/>
          <w:iCs/>
          <w:sz w:val="24"/>
          <w:szCs w:val="24"/>
        </w:rPr>
        <w:t xml:space="preserve">; </w:t>
      </w:r>
      <w:r w:rsidRPr="003653DF">
        <w:rPr>
          <w:rFonts w:ascii="Times New Roman" w:hAnsi="Times New Roman"/>
          <w:sz w:val="24"/>
          <w:szCs w:val="24"/>
        </w:rPr>
        <w:t xml:space="preserve">завышение объемов выполненных работ </w:t>
      </w:r>
      <w:r w:rsidRPr="003653DF">
        <w:rPr>
          <w:rFonts w:ascii="Times New Roman" w:hAnsi="Times New Roman"/>
          <w:i/>
          <w:iCs/>
          <w:sz w:val="24"/>
          <w:szCs w:val="24"/>
        </w:rPr>
        <w:t>на сумму 0,3 млн.руб (Н</w:t>
      </w:r>
      <w:r w:rsidR="00D64BD0" w:rsidRPr="003653DF">
        <w:rPr>
          <w:rFonts w:ascii="Times New Roman" w:hAnsi="Times New Roman"/>
          <w:i/>
          <w:iCs/>
          <w:sz w:val="24"/>
          <w:szCs w:val="24"/>
        </w:rPr>
        <w:t>ецелевое использование бюджетных средств</w:t>
      </w:r>
      <w:r w:rsidRPr="003653DF">
        <w:rPr>
          <w:rFonts w:ascii="Times New Roman" w:hAnsi="Times New Roman"/>
          <w:i/>
          <w:iCs/>
          <w:sz w:val="24"/>
          <w:szCs w:val="24"/>
        </w:rPr>
        <w:t>)</w:t>
      </w:r>
      <w:r w:rsidR="00D64BD0" w:rsidRPr="003653DF">
        <w:rPr>
          <w:rFonts w:ascii="Times New Roman" w:hAnsi="Times New Roman"/>
          <w:i/>
          <w:iCs/>
          <w:sz w:val="24"/>
          <w:szCs w:val="24"/>
        </w:rPr>
        <w:t xml:space="preserve">; </w:t>
      </w:r>
      <w:r w:rsidRPr="003653DF">
        <w:rPr>
          <w:rFonts w:ascii="Times New Roman" w:hAnsi="Times New Roman"/>
          <w:sz w:val="24"/>
          <w:szCs w:val="24"/>
        </w:rPr>
        <w:t>искажение отчетности о результативности использования субсидии</w:t>
      </w:r>
      <w:r w:rsidR="00D64BD0" w:rsidRPr="003653DF">
        <w:rPr>
          <w:rFonts w:ascii="Times New Roman" w:hAnsi="Times New Roman"/>
          <w:sz w:val="24"/>
          <w:szCs w:val="24"/>
        </w:rPr>
        <w:t>.</w:t>
      </w:r>
    </w:p>
    <w:p w:rsidR="00610CBC" w:rsidRPr="003653DF" w:rsidRDefault="00D64BD0" w:rsidP="009D76C5">
      <w:pPr>
        <w:spacing w:after="0" w:line="240" w:lineRule="auto"/>
        <w:jc w:val="both"/>
        <w:rPr>
          <w:rFonts w:ascii="Times New Roman" w:hAnsi="Times New Roman"/>
          <w:sz w:val="24"/>
          <w:szCs w:val="24"/>
        </w:rPr>
      </w:pPr>
      <w:r w:rsidRPr="003653DF">
        <w:rPr>
          <w:rFonts w:ascii="Times New Roman" w:hAnsi="Times New Roman"/>
          <w:sz w:val="24"/>
          <w:szCs w:val="24"/>
        </w:rPr>
        <w:t>-</w:t>
      </w:r>
      <w:r w:rsidR="00610CBC" w:rsidRPr="003653DF">
        <w:rPr>
          <w:rFonts w:ascii="Times New Roman" w:hAnsi="Times New Roman"/>
          <w:sz w:val="24"/>
          <w:szCs w:val="24"/>
        </w:rPr>
        <w:t> </w:t>
      </w:r>
      <w:r w:rsidRPr="003653DF">
        <w:rPr>
          <w:rFonts w:ascii="Times New Roman" w:hAnsi="Times New Roman"/>
          <w:sz w:val="24"/>
          <w:szCs w:val="24"/>
        </w:rPr>
        <w:t>(</w:t>
      </w:r>
      <w:r w:rsidR="00610CBC" w:rsidRPr="003653DF">
        <w:rPr>
          <w:rFonts w:ascii="Times New Roman" w:hAnsi="Times New Roman"/>
          <w:sz w:val="24"/>
          <w:szCs w:val="24"/>
        </w:rPr>
        <w:t>Департамент</w:t>
      </w:r>
      <w:r w:rsidRPr="003653DF">
        <w:rPr>
          <w:rFonts w:ascii="Times New Roman" w:hAnsi="Times New Roman"/>
          <w:sz w:val="24"/>
          <w:szCs w:val="24"/>
        </w:rPr>
        <w:t>)</w:t>
      </w:r>
      <w:r w:rsidR="00610CBC" w:rsidRPr="003653DF">
        <w:rPr>
          <w:rFonts w:ascii="Times New Roman" w:hAnsi="Times New Roman"/>
          <w:sz w:val="24"/>
          <w:szCs w:val="24"/>
        </w:rPr>
        <w:t>:</w:t>
      </w:r>
      <w:r w:rsidRPr="003653DF">
        <w:rPr>
          <w:rFonts w:ascii="Times New Roman" w:hAnsi="Times New Roman"/>
          <w:sz w:val="24"/>
          <w:szCs w:val="24"/>
        </w:rPr>
        <w:t xml:space="preserve"> </w:t>
      </w:r>
      <w:r w:rsidR="00610CBC" w:rsidRPr="003653DF">
        <w:rPr>
          <w:rFonts w:ascii="Times New Roman" w:hAnsi="Times New Roman"/>
          <w:sz w:val="24"/>
          <w:szCs w:val="24"/>
        </w:rPr>
        <w:t>несоблюдение Порядка предоставления субсидии</w:t>
      </w:r>
      <w:r w:rsidRPr="003653DF">
        <w:rPr>
          <w:rFonts w:ascii="Times New Roman" w:hAnsi="Times New Roman"/>
          <w:sz w:val="24"/>
          <w:szCs w:val="24"/>
        </w:rPr>
        <w:t>;</w:t>
      </w:r>
      <w:r w:rsidR="00610CBC" w:rsidRPr="003653DF">
        <w:rPr>
          <w:rFonts w:ascii="Times New Roman" w:hAnsi="Times New Roman"/>
          <w:sz w:val="24"/>
          <w:szCs w:val="24"/>
        </w:rPr>
        <w:t xml:space="preserve"> нарушение срока заключения соглашения</w:t>
      </w:r>
      <w:r w:rsidRPr="003653DF">
        <w:rPr>
          <w:rFonts w:ascii="Times New Roman" w:hAnsi="Times New Roman"/>
          <w:sz w:val="24"/>
          <w:szCs w:val="24"/>
        </w:rPr>
        <w:t xml:space="preserve">; </w:t>
      </w:r>
      <w:r w:rsidR="00610CBC" w:rsidRPr="003653DF">
        <w:rPr>
          <w:rFonts w:ascii="Times New Roman" w:hAnsi="Times New Roman"/>
          <w:sz w:val="24"/>
          <w:szCs w:val="24"/>
        </w:rPr>
        <w:t>некачественное формирование параметров госпрограммы</w:t>
      </w:r>
      <w:r w:rsidRPr="003653DF">
        <w:rPr>
          <w:rFonts w:ascii="Times New Roman" w:hAnsi="Times New Roman"/>
          <w:sz w:val="24"/>
          <w:szCs w:val="24"/>
        </w:rPr>
        <w:t>.</w:t>
      </w:r>
    </w:p>
    <w:p w:rsidR="00D64BD0" w:rsidRPr="003653DF" w:rsidRDefault="00D64BD0"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Несоблюдение технологии выполнения работ привело к </w:t>
      </w:r>
      <w:r w:rsidRPr="003653DF">
        <w:rPr>
          <w:rFonts w:ascii="Times New Roman" w:hAnsi="Times New Roman"/>
          <w:bCs/>
          <w:iCs/>
          <w:sz w:val="24"/>
          <w:szCs w:val="24"/>
        </w:rPr>
        <w:t>неэффективному использованию средств в сумме 2,1 млн.руб.</w:t>
      </w:r>
      <w:r w:rsidRPr="003653DF">
        <w:rPr>
          <w:rFonts w:ascii="Times New Roman" w:hAnsi="Times New Roman"/>
          <w:b/>
          <w:bCs/>
          <w:i/>
          <w:iCs/>
          <w:sz w:val="24"/>
          <w:szCs w:val="24"/>
        </w:rPr>
        <w:t xml:space="preserve"> </w:t>
      </w:r>
      <w:r w:rsidRPr="003653DF">
        <w:rPr>
          <w:rFonts w:ascii="Times New Roman" w:hAnsi="Times New Roman"/>
          <w:sz w:val="24"/>
          <w:szCs w:val="24"/>
        </w:rPr>
        <w:t>Несмотря на выполнение ремонта на сумму 5,5 млн.руб., ширина дорог соответствует V категории, хотя могла быть повышена до IV категории.</w:t>
      </w:r>
    </w:p>
    <w:p w:rsidR="00D64BD0" w:rsidRPr="003653DF" w:rsidRDefault="00D64BD0"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По итогам мероприятия направлено 2 представления и уведомление о применении бюджетных мер принуждения; в доход областного бюджета возвращено 0,5 млн.руб.; к дисциплинарной ответственности привлечено 3 должностных лица; Департаментом предъявлено Администрации района к возмещению 0,5 млн. руб. за не достижение показателей результативности; Администрацией района предъявлены штрафные санкции к </w:t>
      </w:r>
      <w:proofErr w:type="spellStart"/>
      <w:r w:rsidRPr="003653DF">
        <w:rPr>
          <w:rFonts w:ascii="Times New Roman" w:hAnsi="Times New Roman"/>
          <w:sz w:val="24"/>
          <w:szCs w:val="24"/>
        </w:rPr>
        <w:t>стройконтролю</w:t>
      </w:r>
      <w:proofErr w:type="spellEnd"/>
      <w:r w:rsidRPr="003653DF">
        <w:rPr>
          <w:rFonts w:ascii="Times New Roman" w:hAnsi="Times New Roman"/>
          <w:sz w:val="24"/>
          <w:szCs w:val="24"/>
        </w:rPr>
        <w:t>, за некачественное выполнение обязательств.</w:t>
      </w:r>
    </w:p>
    <w:p w:rsidR="00D64BD0" w:rsidRPr="003653DF" w:rsidRDefault="00D64BD0" w:rsidP="009D76C5">
      <w:pPr>
        <w:spacing w:after="0" w:line="240" w:lineRule="auto"/>
        <w:jc w:val="both"/>
        <w:rPr>
          <w:rFonts w:ascii="Times New Roman" w:hAnsi="Times New Roman"/>
          <w:b/>
          <w:sz w:val="24"/>
          <w:szCs w:val="24"/>
        </w:rPr>
      </w:pPr>
    </w:p>
    <w:p w:rsidR="00415799" w:rsidRPr="003653DF" w:rsidRDefault="008A091A" w:rsidP="009D76C5">
      <w:pPr>
        <w:spacing w:after="0" w:line="240" w:lineRule="auto"/>
        <w:jc w:val="both"/>
        <w:rPr>
          <w:rFonts w:ascii="Times New Roman" w:hAnsi="Times New Roman"/>
          <w:b/>
          <w:bCs/>
          <w:sz w:val="24"/>
          <w:szCs w:val="24"/>
        </w:rPr>
      </w:pPr>
      <w:r w:rsidRPr="003653DF">
        <w:rPr>
          <w:rFonts w:ascii="Times New Roman" w:hAnsi="Times New Roman"/>
          <w:b/>
          <w:bCs/>
          <w:sz w:val="24"/>
          <w:szCs w:val="24"/>
        </w:rPr>
        <w:t>Контрольное мероприятие «Проверка использования средств областного бюджета, предоставленных местным бюджетам на капитальный ремонт муниципальных спортивных сооружений в рамках государственной программы «Развитие молодежной политики, физической культуры и спорта Томской области» в 2021 году (выборочно)»</w:t>
      </w:r>
    </w:p>
    <w:p w:rsidR="00D71326" w:rsidRPr="003653DF" w:rsidRDefault="00D71326" w:rsidP="009D76C5">
      <w:pPr>
        <w:spacing w:after="0" w:line="240" w:lineRule="auto"/>
        <w:ind w:firstLine="567"/>
        <w:jc w:val="both"/>
        <w:rPr>
          <w:rFonts w:ascii="Times New Roman" w:hAnsi="Times New Roman"/>
          <w:sz w:val="24"/>
          <w:szCs w:val="24"/>
        </w:rPr>
      </w:pPr>
      <w:r w:rsidRPr="003653DF">
        <w:rPr>
          <w:rFonts w:ascii="Times New Roman" w:hAnsi="Times New Roman"/>
          <w:bCs/>
          <w:sz w:val="24"/>
          <w:szCs w:val="24"/>
        </w:rPr>
        <w:t>Объекты проверки:</w:t>
      </w:r>
    </w:p>
    <w:p w:rsidR="00D71326" w:rsidRPr="003653DF" w:rsidRDefault="00D71326" w:rsidP="009D76C5">
      <w:pPr>
        <w:spacing w:after="0" w:line="240" w:lineRule="auto"/>
        <w:jc w:val="both"/>
        <w:rPr>
          <w:rFonts w:ascii="Times New Roman" w:hAnsi="Times New Roman"/>
          <w:sz w:val="24"/>
          <w:szCs w:val="24"/>
        </w:rPr>
      </w:pPr>
      <w:r w:rsidRPr="003653DF">
        <w:rPr>
          <w:rFonts w:ascii="Times New Roman" w:hAnsi="Times New Roman"/>
          <w:sz w:val="24"/>
          <w:szCs w:val="24"/>
        </w:rPr>
        <w:t>- Управление образования администрации Асиновского района,</w:t>
      </w:r>
    </w:p>
    <w:p w:rsidR="00D71326" w:rsidRPr="003653DF" w:rsidRDefault="00D71326" w:rsidP="009D76C5">
      <w:pPr>
        <w:spacing w:after="0" w:line="240" w:lineRule="auto"/>
        <w:jc w:val="both"/>
        <w:rPr>
          <w:rFonts w:ascii="Times New Roman" w:hAnsi="Times New Roman"/>
          <w:sz w:val="24"/>
          <w:szCs w:val="24"/>
        </w:rPr>
      </w:pPr>
      <w:r w:rsidRPr="003653DF">
        <w:rPr>
          <w:rFonts w:ascii="Times New Roman" w:hAnsi="Times New Roman"/>
          <w:sz w:val="24"/>
          <w:szCs w:val="24"/>
        </w:rPr>
        <w:t>- Департамент архитектуры и строительства Томской области.</w:t>
      </w:r>
    </w:p>
    <w:p w:rsidR="00026A6F" w:rsidRPr="003653DF" w:rsidRDefault="00221631"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В </w:t>
      </w:r>
      <w:r w:rsidR="00026A6F" w:rsidRPr="003653DF">
        <w:rPr>
          <w:rFonts w:ascii="Times New Roman" w:hAnsi="Times New Roman"/>
          <w:sz w:val="24"/>
          <w:szCs w:val="24"/>
        </w:rPr>
        <w:t>целях</w:t>
      </w:r>
      <w:r w:rsidRPr="003653DF">
        <w:rPr>
          <w:rFonts w:ascii="Times New Roman" w:hAnsi="Times New Roman"/>
          <w:sz w:val="24"/>
          <w:szCs w:val="24"/>
        </w:rPr>
        <w:t xml:space="preserve"> реализации ГП «</w:t>
      </w:r>
      <w:r w:rsidRPr="003653DF">
        <w:rPr>
          <w:rFonts w:ascii="Times New Roman" w:hAnsi="Times New Roman"/>
          <w:bCs/>
          <w:sz w:val="24"/>
          <w:szCs w:val="24"/>
        </w:rPr>
        <w:t>Развитие молодежной политики, физической культуры и спорта Томской области</w:t>
      </w:r>
      <w:r w:rsidRPr="003653DF">
        <w:rPr>
          <w:rFonts w:ascii="Times New Roman" w:hAnsi="Times New Roman"/>
          <w:sz w:val="24"/>
          <w:szCs w:val="24"/>
        </w:rPr>
        <w:t xml:space="preserve">» Департаментом </w:t>
      </w:r>
      <w:r w:rsidR="00026A6F" w:rsidRPr="003653DF">
        <w:rPr>
          <w:rFonts w:ascii="Times New Roman" w:hAnsi="Times New Roman"/>
          <w:sz w:val="24"/>
          <w:szCs w:val="24"/>
        </w:rPr>
        <w:t>архитектуры и строительства бюджету муниципального образования «Асиновский район» предоставлена субсидия на капитальный ремонт муниципальных спортивных сооружений в рамках регионального проекта «Спорт – норма жизни» в сумме 35 млн.руб.</w:t>
      </w:r>
    </w:p>
    <w:p w:rsidR="00026A6F" w:rsidRPr="003653DF" w:rsidRDefault="00026A6F"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Управлением образования бюджетные средства в сумме 44 045,14 тыс.руб. направлены МАОУ ДО ДЮСШ № 1 г. Асино на «Капитальный ремонт спортивного комплекса МАОУ ДО ДЮСШ № 1 г. Асино», </w:t>
      </w:r>
      <w:r w:rsidR="00025B56" w:rsidRPr="003653DF">
        <w:rPr>
          <w:rFonts w:ascii="Times New Roman" w:hAnsi="Times New Roman"/>
          <w:sz w:val="24"/>
          <w:szCs w:val="24"/>
        </w:rPr>
        <w:t>из них</w:t>
      </w:r>
      <w:r w:rsidRPr="003653DF">
        <w:rPr>
          <w:rFonts w:ascii="Times New Roman" w:hAnsi="Times New Roman"/>
          <w:sz w:val="24"/>
          <w:szCs w:val="24"/>
        </w:rPr>
        <w:t>:</w:t>
      </w:r>
    </w:p>
    <w:p w:rsidR="00026A6F" w:rsidRPr="003653DF" w:rsidRDefault="00026A6F"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- 35 000,0 тыс.руб. – средства областного бюджета (софинансирование);</w:t>
      </w:r>
    </w:p>
    <w:p w:rsidR="00026A6F" w:rsidRPr="003653DF" w:rsidRDefault="00026A6F"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- 1 850,06 тыс.руб. </w:t>
      </w:r>
      <w:r w:rsidR="00280068">
        <w:rPr>
          <w:rFonts w:ascii="Times New Roman" w:hAnsi="Times New Roman"/>
          <w:sz w:val="24"/>
          <w:szCs w:val="24"/>
        </w:rPr>
        <w:t>–</w:t>
      </w:r>
      <w:r w:rsidRPr="003653DF">
        <w:rPr>
          <w:rFonts w:ascii="Times New Roman" w:hAnsi="Times New Roman"/>
          <w:sz w:val="24"/>
          <w:szCs w:val="24"/>
        </w:rPr>
        <w:t xml:space="preserve"> средства местного бюджета (софинансирование);</w:t>
      </w:r>
    </w:p>
    <w:p w:rsidR="00026A6F" w:rsidRPr="003653DF" w:rsidRDefault="00026A6F"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- 7 195,08 тыс.руб. – средства местного бюджета.</w:t>
      </w:r>
    </w:p>
    <w:p w:rsidR="00025B56" w:rsidRPr="003653DF" w:rsidRDefault="00025B56"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 ходе мероприятия выявлены такие нарушения (недостатки)</w:t>
      </w:r>
      <w:r w:rsidR="003B372C">
        <w:rPr>
          <w:rFonts w:ascii="Times New Roman" w:hAnsi="Times New Roman"/>
          <w:sz w:val="24"/>
          <w:szCs w:val="24"/>
        </w:rPr>
        <w:t>,</w:t>
      </w:r>
      <w:r w:rsidRPr="003653DF">
        <w:rPr>
          <w:rFonts w:ascii="Times New Roman" w:hAnsi="Times New Roman"/>
          <w:sz w:val="24"/>
          <w:szCs w:val="24"/>
        </w:rPr>
        <w:t xml:space="preserve"> как: признаки нарушения закона №223-ФЗ при осуществлении закупок; несоблюдение сторонами условий договора в части объема выполненной работы, срока оплаты; несоответствие проектной документации техническому заданию; несоблюдение Порядка проведения проверки достоверности определения сметной стоимости; несоблюдение требований по обследованию технического состояния объекта; несоответствие показателя результативности предоставления субсидии и его значения и параметрам регионального проекта; некачественный контроль при осуществлении технического надзора; отсутствие в техническом задании требований к обеспеченности передвижения маломобильных групп населения; отсутствие обоснованности применения ряда технических решений; отсутствие претензионной работы по качеству выполненной работы.</w:t>
      </w:r>
    </w:p>
    <w:p w:rsidR="00B53F66" w:rsidRPr="003653DF" w:rsidRDefault="00B53F66"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Наличие замечаний к проектной организации, техническому надзору и подрядной организации по устройству фундаментных плит для монтажа трибун и навеса, предназначенных для массового скопления людей, квалифицировано как </w:t>
      </w:r>
      <w:r w:rsidRPr="003653DF">
        <w:rPr>
          <w:rFonts w:ascii="Times New Roman" w:hAnsi="Times New Roman"/>
          <w:bCs/>
          <w:iCs/>
          <w:sz w:val="24"/>
          <w:szCs w:val="24"/>
        </w:rPr>
        <w:t>неэффективное использование бюджетных средств в сумме 3,8 млн.руб.</w:t>
      </w:r>
      <w:r w:rsidRPr="003653DF">
        <w:rPr>
          <w:rFonts w:ascii="Times New Roman" w:hAnsi="Times New Roman"/>
          <w:i/>
          <w:iCs/>
          <w:sz w:val="24"/>
          <w:szCs w:val="24"/>
        </w:rPr>
        <w:t xml:space="preserve"> </w:t>
      </w:r>
    </w:p>
    <w:p w:rsidR="00415799" w:rsidRPr="003653DF" w:rsidRDefault="00025B56"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По итогам мероприятия направлено 2 представления. Устранение нарушений находится на контроле.</w:t>
      </w:r>
    </w:p>
    <w:p w:rsidR="00415799" w:rsidRPr="003653DF" w:rsidRDefault="00415799" w:rsidP="009D76C5">
      <w:pPr>
        <w:spacing w:after="0" w:line="240" w:lineRule="auto"/>
        <w:jc w:val="both"/>
        <w:rPr>
          <w:rFonts w:ascii="Times New Roman" w:hAnsi="Times New Roman"/>
          <w:sz w:val="24"/>
          <w:szCs w:val="24"/>
        </w:rPr>
      </w:pPr>
    </w:p>
    <w:p w:rsidR="00415799" w:rsidRPr="003653DF" w:rsidRDefault="000A6A97" w:rsidP="009D76C5">
      <w:pPr>
        <w:spacing w:after="0" w:line="240" w:lineRule="auto"/>
        <w:jc w:val="both"/>
        <w:rPr>
          <w:rFonts w:ascii="Times New Roman" w:hAnsi="Times New Roman"/>
          <w:b/>
          <w:bCs/>
          <w:sz w:val="24"/>
          <w:szCs w:val="24"/>
        </w:rPr>
      </w:pPr>
      <w:r w:rsidRPr="003653DF">
        <w:rPr>
          <w:rFonts w:ascii="Times New Roman" w:hAnsi="Times New Roman"/>
          <w:b/>
          <w:bCs/>
          <w:sz w:val="24"/>
          <w:szCs w:val="24"/>
        </w:rPr>
        <w:t>Контрольное мероприятие «Проверка использования средств областного бюджета, выделенных в 2022 году на реализацию мероприятий ведомственной целевой программы «Совершенствование развития правоохранительного сегмента аппаратно-программного комплекса «Безопасный город», осуществление комплексных работ, направленных на организацию дорожного движения, снижение дорожно-транспортных происшествий» государственной программы «Обеспечение безопасности населения Томской области»</w:t>
      </w:r>
    </w:p>
    <w:p w:rsidR="000A6A97" w:rsidRPr="003653DF" w:rsidRDefault="000A6A97" w:rsidP="009D76C5">
      <w:pPr>
        <w:spacing w:after="0" w:line="240" w:lineRule="auto"/>
        <w:ind w:firstLine="567"/>
        <w:jc w:val="both"/>
        <w:rPr>
          <w:rFonts w:ascii="Times New Roman" w:hAnsi="Times New Roman"/>
          <w:sz w:val="24"/>
          <w:szCs w:val="24"/>
        </w:rPr>
      </w:pPr>
      <w:r w:rsidRPr="003653DF">
        <w:rPr>
          <w:rFonts w:ascii="Times New Roman" w:hAnsi="Times New Roman"/>
          <w:bCs/>
          <w:sz w:val="24"/>
          <w:szCs w:val="24"/>
        </w:rPr>
        <w:t>Объекты проверки:</w:t>
      </w:r>
    </w:p>
    <w:p w:rsidR="000A6A97" w:rsidRPr="003653DF" w:rsidRDefault="000A6A97" w:rsidP="009D76C5">
      <w:pPr>
        <w:spacing w:after="0" w:line="240" w:lineRule="auto"/>
        <w:jc w:val="both"/>
        <w:rPr>
          <w:rFonts w:ascii="Times New Roman" w:hAnsi="Times New Roman"/>
          <w:sz w:val="24"/>
          <w:szCs w:val="24"/>
        </w:rPr>
      </w:pPr>
      <w:r w:rsidRPr="003653DF">
        <w:rPr>
          <w:rFonts w:ascii="Times New Roman" w:hAnsi="Times New Roman"/>
          <w:sz w:val="24"/>
          <w:szCs w:val="24"/>
        </w:rPr>
        <w:t>- ОГАУ «СМЭУ Томской области»,</w:t>
      </w:r>
    </w:p>
    <w:p w:rsidR="000A6A97" w:rsidRPr="003653DF" w:rsidRDefault="000A6A97" w:rsidP="009D76C5">
      <w:pPr>
        <w:spacing w:after="0" w:line="240" w:lineRule="auto"/>
        <w:jc w:val="both"/>
        <w:rPr>
          <w:rFonts w:ascii="Times New Roman" w:hAnsi="Times New Roman"/>
          <w:sz w:val="24"/>
          <w:szCs w:val="24"/>
        </w:rPr>
      </w:pPr>
      <w:r w:rsidRPr="003653DF">
        <w:rPr>
          <w:rFonts w:ascii="Times New Roman" w:hAnsi="Times New Roman"/>
          <w:sz w:val="24"/>
          <w:szCs w:val="24"/>
        </w:rPr>
        <w:t>- Департамент транспорта, дорожной деятельности и связи Томской области.</w:t>
      </w:r>
    </w:p>
    <w:p w:rsidR="007D7D7D" w:rsidRPr="003653DF" w:rsidRDefault="007D7D7D"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Ведомственная целевая программа направлена на решение задачи подпрограммы «Повышение общественной безопасности с использованием правоохранительного сегмента аппаратно-программного комплекса технических средств «Безопасный город» с показателями:</w:t>
      </w:r>
    </w:p>
    <w:p w:rsidR="007D7D7D" w:rsidRPr="003653DF" w:rsidRDefault="007D7D7D" w:rsidP="009D76C5">
      <w:pPr>
        <w:spacing w:after="0" w:line="240" w:lineRule="auto"/>
        <w:jc w:val="both"/>
        <w:rPr>
          <w:rFonts w:ascii="Times New Roman" w:hAnsi="Times New Roman"/>
          <w:sz w:val="24"/>
          <w:szCs w:val="24"/>
        </w:rPr>
      </w:pPr>
      <w:r w:rsidRPr="003653DF">
        <w:rPr>
          <w:rFonts w:ascii="Times New Roman" w:hAnsi="Times New Roman"/>
          <w:sz w:val="24"/>
          <w:szCs w:val="24"/>
        </w:rPr>
        <w:t>- доля работоспособных технических средств, подключенных к АПК «Безопасный город», - не менее 80%;</w:t>
      </w:r>
    </w:p>
    <w:p w:rsidR="007D7D7D" w:rsidRPr="003653DF" w:rsidRDefault="007D7D7D" w:rsidP="009D76C5">
      <w:pPr>
        <w:spacing w:after="0" w:line="240" w:lineRule="auto"/>
        <w:jc w:val="both"/>
        <w:rPr>
          <w:rFonts w:ascii="Times New Roman" w:hAnsi="Times New Roman"/>
          <w:sz w:val="24"/>
          <w:szCs w:val="24"/>
        </w:rPr>
      </w:pPr>
      <w:r w:rsidRPr="003653DF">
        <w:rPr>
          <w:rFonts w:ascii="Times New Roman" w:hAnsi="Times New Roman"/>
          <w:sz w:val="24"/>
          <w:szCs w:val="24"/>
        </w:rPr>
        <w:t xml:space="preserve">- доля работоспособных систем </w:t>
      </w:r>
      <w:proofErr w:type="spellStart"/>
      <w:r w:rsidRPr="003653DF">
        <w:rPr>
          <w:rFonts w:ascii="Times New Roman" w:hAnsi="Times New Roman"/>
          <w:sz w:val="24"/>
          <w:szCs w:val="24"/>
        </w:rPr>
        <w:t>фотовидеофиксации</w:t>
      </w:r>
      <w:proofErr w:type="spellEnd"/>
      <w:r w:rsidRPr="003653DF">
        <w:rPr>
          <w:rFonts w:ascii="Times New Roman" w:hAnsi="Times New Roman"/>
          <w:sz w:val="24"/>
          <w:szCs w:val="24"/>
        </w:rPr>
        <w:t xml:space="preserve"> нарушений правил дорожного движения от общего количества систем </w:t>
      </w:r>
      <w:proofErr w:type="spellStart"/>
      <w:r w:rsidRPr="003653DF">
        <w:rPr>
          <w:rFonts w:ascii="Times New Roman" w:hAnsi="Times New Roman"/>
          <w:sz w:val="24"/>
          <w:szCs w:val="24"/>
        </w:rPr>
        <w:t>фотовидеофиксации</w:t>
      </w:r>
      <w:proofErr w:type="spellEnd"/>
      <w:r w:rsidRPr="003653DF">
        <w:rPr>
          <w:rFonts w:ascii="Times New Roman" w:hAnsi="Times New Roman"/>
          <w:sz w:val="24"/>
          <w:szCs w:val="24"/>
        </w:rPr>
        <w:t xml:space="preserve"> нарушений </w:t>
      </w:r>
      <w:hyperlink r:id="rId7" w:history="1">
        <w:r w:rsidRPr="003653DF">
          <w:rPr>
            <w:rFonts w:ascii="Times New Roman" w:hAnsi="Times New Roman"/>
            <w:sz w:val="24"/>
            <w:szCs w:val="24"/>
          </w:rPr>
          <w:t>правил</w:t>
        </w:r>
      </w:hyperlink>
      <w:r w:rsidRPr="003653DF">
        <w:rPr>
          <w:rFonts w:ascii="Times New Roman" w:hAnsi="Times New Roman"/>
          <w:sz w:val="24"/>
          <w:szCs w:val="24"/>
        </w:rPr>
        <w:t xml:space="preserve"> дорожного движения РФ – не менее 80%;</w:t>
      </w:r>
    </w:p>
    <w:p w:rsidR="007D7D7D" w:rsidRPr="003653DF" w:rsidRDefault="007D7D7D" w:rsidP="009D76C5">
      <w:pPr>
        <w:spacing w:after="0" w:line="240" w:lineRule="auto"/>
        <w:jc w:val="both"/>
        <w:rPr>
          <w:rFonts w:ascii="Times New Roman" w:hAnsi="Times New Roman"/>
          <w:sz w:val="24"/>
          <w:szCs w:val="24"/>
        </w:rPr>
      </w:pPr>
      <w:r w:rsidRPr="003653DF">
        <w:rPr>
          <w:rFonts w:ascii="Times New Roman" w:hAnsi="Times New Roman"/>
          <w:sz w:val="24"/>
          <w:szCs w:val="24"/>
        </w:rPr>
        <w:t xml:space="preserve">- снижение количества дорожно-транспортных происшествий в местах размещения системы </w:t>
      </w:r>
      <w:proofErr w:type="spellStart"/>
      <w:r w:rsidRPr="003653DF">
        <w:rPr>
          <w:rFonts w:ascii="Times New Roman" w:hAnsi="Times New Roman"/>
          <w:sz w:val="24"/>
          <w:szCs w:val="24"/>
        </w:rPr>
        <w:t>фотовидеофиксации</w:t>
      </w:r>
      <w:proofErr w:type="spellEnd"/>
      <w:r w:rsidRPr="003653DF">
        <w:rPr>
          <w:rFonts w:ascii="Times New Roman" w:hAnsi="Times New Roman"/>
          <w:sz w:val="24"/>
          <w:szCs w:val="24"/>
        </w:rPr>
        <w:t xml:space="preserve"> нарушений правил дорожного движения к уровню 2016 года – не менее 15%.</w:t>
      </w:r>
    </w:p>
    <w:p w:rsidR="007D7D7D" w:rsidRPr="003653DF" w:rsidRDefault="007D7D7D"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Кассовое исполнение расходов на реализацию мероприятий ВЦП составило 132,7 млн.руб. или 98,6% от плана по уточненной сводной бюджетной росписи.</w:t>
      </w:r>
    </w:p>
    <w:p w:rsidR="007D7D7D" w:rsidRPr="003653DF" w:rsidRDefault="007D7D7D"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 ходе мероприятия выявлены такие нарушения (недостатки)</w:t>
      </w:r>
      <w:r w:rsidR="003B372C">
        <w:rPr>
          <w:rFonts w:ascii="Times New Roman" w:hAnsi="Times New Roman"/>
          <w:sz w:val="24"/>
          <w:szCs w:val="24"/>
        </w:rPr>
        <w:t>,</w:t>
      </w:r>
      <w:r w:rsidRPr="003653DF">
        <w:rPr>
          <w:rFonts w:ascii="Times New Roman" w:hAnsi="Times New Roman"/>
          <w:sz w:val="24"/>
          <w:szCs w:val="24"/>
        </w:rPr>
        <w:t xml:space="preserve"> как: отсутствие претензионной работы по </w:t>
      </w:r>
      <w:proofErr w:type="spellStart"/>
      <w:r w:rsidRPr="003653DF">
        <w:rPr>
          <w:rFonts w:ascii="Times New Roman" w:hAnsi="Times New Roman"/>
          <w:sz w:val="24"/>
          <w:szCs w:val="24"/>
        </w:rPr>
        <w:t>гос.контракту</w:t>
      </w:r>
      <w:proofErr w:type="spellEnd"/>
      <w:r w:rsidRPr="003653DF">
        <w:rPr>
          <w:rFonts w:ascii="Times New Roman" w:hAnsi="Times New Roman"/>
          <w:sz w:val="24"/>
          <w:szCs w:val="24"/>
        </w:rPr>
        <w:t>; некачественная подготовка ВЦП, Положения об оплате труда работников, Положения о премировании работников, штатных расписаний; некачественная подготовка первичных бухгалтерских документов; несоблюдение СМЭУ ТО условий договоров (контрактов); не достижение 2-х из 3 целевых показателей ГП; цель подпрограммы достигается реализацией только одного мероприятия ВЦП, что не соответствует требованиям Методических указаний; недоимка по уплате штрафов за 2022 г. составила 183,7 млн.руб.</w:t>
      </w:r>
    </w:p>
    <w:p w:rsidR="007D7D7D" w:rsidRPr="003653DF" w:rsidRDefault="007D7D7D"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За 2020 - 2022 гг. отсутствует динамика снижения нарушений ПДД. Движение на авто</w:t>
      </w:r>
      <w:r w:rsidR="00846D0C" w:rsidRPr="003653DF">
        <w:rPr>
          <w:rFonts w:ascii="Times New Roman" w:hAnsi="Times New Roman"/>
          <w:sz w:val="24"/>
          <w:szCs w:val="24"/>
        </w:rPr>
        <w:t xml:space="preserve">мобильных </w:t>
      </w:r>
      <w:r w:rsidRPr="003653DF">
        <w:rPr>
          <w:rFonts w:ascii="Times New Roman" w:hAnsi="Times New Roman"/>
          <w:sz w:val="24"/>
          <w:szCs w:val="24"/>
        </w:rPr>
        <w:t>дорогах региона остается небезопасным, что требует принятие мер по обеспечению безопасности дорожного движения, не связанных с установкой ком</w:t>
      </w:r>
      <w:r w:rsidR="00846D0C" w:rsidRPr="003653DF">
        <w:rPr>
          <w:rFonts w:ascii="Times New Roman" w:hAnsi="Times New Roman"/>
          <w:sz w:val="24"/>
          <w:szCs w:val="24"/>
        </w:rPr>
        <w:t xml:space="preserve">плексов фиксации нарушений ПДД. </w:t>
      </w:r>
      <w:r w:rsidRPr="003653DF">
        <w:rPr>
          <w:rFonts w:ascii="Times New Roman" w:hAnsi="Times New Roman"/>
          <w:sz w:val="24"/>
          <w:szCs w:val="24"/>
        </w:rPr>
        <w:t xml:space="preserve">Ряд показателей </w:t>
      </w:r>
      <w:r w:rsidR="00846D0C" w:rsidRPr="003653DF">
        <w:rPr>
          <w:rFonts w:ascii="Times New Roman" w:hAnsi="Times New Roman"/>
          <w:sz w:val="24"/>
          <w:szCs w:val="24"/>
        </w:rPr>
        <w:t>госпрограммы</w:t>
      </w:r>
      <w:r w:rsidRPr="003653DF">
        <w:rPr>
          <w:rFonts w:ascii="Times New Roman" w:hAnsi="Times New Roman"/>
          <w:sz w:val="24"/>
          <w:szCs w:val="24"/>
        </w:rPr>
        <w:t xml:space="preserve"> носят формальный характер.</w:t>
      </w:r>
      <w:r w:rsidR="00846D0C" w:rsidRPr="003653DF">
        <w:rPr>
          <w:rFonts w:ascii="Times New Roman" w:hAnsi="Times New Roman"/>
          <w:sz w:val="24"/>
          <w:szCs w:val="24"/>
        </w:rPr>
        <w:t xml:space="preserve"> </w:t>
      </w:r>
      <w:r w:rsidRPr="003653DF">
        <w:rPr>
          <w:rFonts w:ascii="Times New Roman" w:hAnsi="Times New Roman"/>
          <w:sz w:val="24"/>
          <w:szCs w:val="24"/>
        </w:rPr>
        <w:t xml:space="preserve">За 2022 г. ВЦП признана неэффективной, </w:t>
      </w:r>
      <w:r w:rsidR="00846D0C" w:rsidRPr="003653DF">
        <w:rPr>
          <w:rFonts w:ascii="Times New Roman" w:hAnsi="Times New Roman"/>
          <w:sz w:val="24"/>
          <w:szCs w:val="24"/>
        </w:rPr>
        <w:t>а госпрограмма –</w:t>
      </w:r>
      <w:r w:rsidRPr="003653DF">
        <w:rPr>
          <w:rFonts w:ascii="Times New Roman" w:hAnsi="Times New Roman"/>
          <w:sz w:val="24"/>
          <w:szCs w:val="24"/>
        </w:rPr>
        <w:t xml:space="preserve"> низкоэффективной</w:t>
      </w:r>
      <w:r w:rsidR="00846D0C" w:rsidRPr="003653DF">
        <w:rPr>
          <w:rFonts w:ascii="Times New Roman" w:hAnsi="Times New Roman"/>
          <w:sz w:val="24"/>
          <w:szCs w:val="24"/>
        </w:rPr>
        <w:t>.</w:t>
      </w:r>
    </w:p>
    <w:p w:rsidR="006D69B7" w:rsidRPr="003653DF" w:rsidRDefault="006D69B7" w:rsidP="009D76C5">
      <w:pPr>
        <w:spacing w:after="0" w:line="240" w:lineRule="auto"/>
        <w:ind w:firstLine="567"/>
        <w:jc w:val="both"/>
        <w:rPr>
          <w:rFonts w:ascii="Times New Roman" w:hAnsi="Times New Roman"/>
          <w:iCs/>
          <w:sz w:val="24"/>
          <w:szCs w:val="24"/>
        </w:rPr>
      </w:pPr>
      <w:r w:rsidRPr="003653DF">
        <w:rPr>
          <w:rFonts w:ascii="Times New Roman" w:hAnsi="Times New Roman"/>
          <w:sz w:val="24"/>
          <w:szCs w:val="24"/>
        </w:rPr>
        <w:t xml:space="preserve">По итогам мероприятия направлены представление и информационное письмо и рекомендовано скорректировать положения ВЦП и рассмотреть вопрос о </w:t>
      </w:r>
      <w:proofErr w:type="spellStart"/>
      <w:r w:rsidRPr="003653DF">
        <w:rPr>
          <w:rFonts w:ascii="Times New Roman" w:hAnsi="Times New Roman"/>
          <w:sz w:val="24"/>
          <w:szCs w:val="24"/>
        </w:rPr>
        <w:t>софинансировании</w:t>
      </w:r>
      <w:proofErr w:type="spellEnd"/>
      <w:r w:rsidRPr="003653DF">
        <w:rPr>
          <w:rFonts w:ascii="Times New Roman" w:hAnsi="Times New Roman"/>
          <w:sz w:val="24"/>
          <w:szCs w:val="24"/>
        </w:rPr>
        <w:t xml:space="preserve"> расходных обязательств Российской Федерации, возникающих</w:t>
      </w:r>
      <w:r w:rsidRPr="003653DF">
        <w:rPr>
          <w:rFonts w:ascii="Times New Roman" w:hAnsi="Times New Roman"/>
          <w:iCs/>
          <w:sz w:val="24"/>
          <w:szCs w:val="24"/>
        </w:rPr>
        <w:t xml:space="preserve"> при реализации, возложенных на полицию обязанностей по охране общественного порядка и обеспечению безопасности, путем предоставления межбюджетного трансферта (субсидии) с установлением показателя эффективности предоставления субсидии – полнота взыскания  штрафов за нарушение правил дорожного движения.</w:t>
      </w:r>
    </w:p>
    <w:p w:rsidR="00415799" w:rsidRPr="003653DF" w:rsidRDefault="00415799" w:rsidP="009D76C5">
      <w:pPr>
        <w:spacing w:after="0" w:line="240" w:lineRule="auto"/>
        <w:jc w:val="both"/>
        <w:rPr>
          <w:rFonts w:ascii="Times New Roman" w:hAnsi="Times New Roman"/>
          <w:sz w:val="24"/>
          <w:szCs w:val="24"/>
        </w:rPr>
      </w:pPr>
    </w:p>
    <w:p w:rsidR="008727A4" w:rsidRPr="003653DF" w:rsidRDefault="008727A4" w:rsidP="009D76C5">
      <w:pPr>
        <w:spacing w:after="0" w:line="240" w:lineRule="auto"/>
        <w:jc w:val="both"/>
        <w:rPr>
          <w:rFonts w:ascii="Times New Roman" w:hAnsi="Times New Roman"/>
          <w:b/>
          <w:bCs/>
          <w:sz w:val="24"/>
          <w:szCs w:val="24"/>
        </w:rPr>
      </w:pPr>
      <w:r w:rsidRPr="003653DF">
        <w:rPr>
          <w:rFonts w:ascii="Times New Roman" w:hAnsi="Times New Roman"/>
          <w:b/>
          <w:bCs/>
          <w:sz w:val="24"/>
          <w:szCs w:val="24"/>
        </w:rPr>
        <w:t>Контрольное мероприятие «Проверка использования бюджетных средств, направленных в 2022 году на реализацию мероприятий подпрограммы «Развитие лесного хозяйства на территории Томской области» государственной программы «Охрана окружающей среды, воспроизводство и рациональное использование природных ресурсов» в части средств, направленных на деятельность ОГАУ «Томское лесохозяйственное производственное объединение» и на осуществление организационно-технических мероприятий по подбору (отводу) участков лесных насаждений, предназначенных для заготовки древесины»</w:t>
      </w:r>
    </w:p>
    <w:p w:rsidR="008727A4" w:rsidRPr="003653DF" w:rsidRDefault="008727A4" w:rsidP="009D76C5">
      <w:pPr>
        <w:spacing w:after="0" w:line="240" w:lineRule="auto"/>
        <w:ind w:firstLine="567"/>
        <w:jc w:val="both"/>
        <w:rPr>
          <w:rFonts w:ascii="Times New Roman" w:hAnsi="Times New Roman"/>
          <w:sz w:val="24"/>
          <w:szCs w:val="24"/>
        </w:rPr>
      </w:pPr>
      <w:r w:rsidRPr="003653DF">
        <w:rPr>
          <w:rFonts w:ascii="Times New Roman" w:hAnsi="Times New Roman"/>
          <w:bCs/>
          <w:sz w:val="24"/>
          <w:szCs w:val="24"/>
        </w:rPr>
        <w:t>Объекты проверки:</w:t>
      </w:r>
    </w:p>
    <w:p w:rsidR="008727A4" w:rsidRPr="003653DF" w:rsidRDefault="008727A4" w:rsidP="009D76C5">
      <w:pPr>
        <w:spacing w:after="0" w:line="240" w:lineRule="auto"/>
        <w:jc w:val="both"/>
        <w:rPr>
          <w:rFonts w:ascii="Times New Roman" w:hAnsi="Times New Roman"/>
          <w:sz w:val="24"/>
          <w:szCs w:val="24"/>
        </w:rPr>
      </w:pPr>
      <w:r w:rsidRPr="003653DF">
        <w:rPr>
          <w:rFonts w:ascii="Times New Roman" w:hAnsi="Times New Roman"/>
          <w:sz w:val="24"/>
          <w:szCs w:val="24"/>
        </w:rPr>
        <w:t>- ОГАУ «</w:t>
      </w:r>
      <w:proofErr w:type="spellStart"/>
      <w:r w:rsidRPr="003653DF">
        <w:rPr>
          <w:rFonts w:ascii="Times New Roman" w:hAnsi="Times New Roman"/>
          <w:sz w:val="24"/>
          <w:szCs w:val="24"/>
        </w:rPr>
        <w:t>Томсклесхоз</w:t>
      </w:r>
      <w:proofErr w:type="spellEnd"/>
      <w:r w:rsidRPr="003653DF">
        <w:rPr>
          <w:rFonts w:ascii="Times New Roman" w:hAnsi="Times New Roman"/>
          <w:sz w:val="24"/>
          <w:szCs w:val="24"/>
        </w:rPr>
        <w:t>»,</w:t>
      </w:r>
    </w:p>
    <w:p w:rsidR="008727A4" w:rsidRPr="003653DF" w:rsidRDefault="008727A4" w:rsidP="009D76C5">
      <w:pPr>
        <w:spacing w:after="0" w:line="240" w:lineRule="auto"/>
        <w:jc w:val="both"/>
        <w:rPr>
          <w:rFonts w:ascii="Times New Roman" w:hAnsi="Times New Roman"/>
          <w:sz w:val="24"/>
          <w:szCs w:val="24"/>
        </w:rPr>
      </w:pPr>
      <w:r w:rsidRPr="003653DF">
        <w:rPr>
          <w:rFonts w:ascii="Times New Roman" w:hAnsi="Times New Roman"/>
          <w:sz w:val="24"/>
          <w:szCs w:val="24"/>
        </w:rPr>
        <w:t>- Департамент лесного хозяйства Томской области.</w:t>
      </w:r>
    </w:p>
    <w:p w:rsidR="00C87601" w:rsidRPr="003653DF" w:rsidRDefault="006D7E85"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Подпрограмма направлена на обеспечение использования, охраны, защиты и воспроизводства лесов Томской области</w:t>
      </w:r>
      <w:r w:rsidR="00AD1C44" w:rsidRPr="003653DF">
        <w:rPr>
          <w:rFonts w:ascii="Times New Roman" w:hAnsi="Times New Roman"/>
          <w:sz w:val="24"/>
          <w:szCs w:val="24"/>
        </w:rPr>
        <w:t xml:space="preserve"> и предусматривает реализацию в 2022 году 3 основных мероприятий, включающих 18 мероприятий, и ВЦП «Повышение эффективности развития лесов Томской области».</w:t>
      </w:r>
    </w:p>
    <w:p w:rsidR="00AD1C44" w:rsidRPr="003653DF" w:rsidRDefault="00AD1C44" w:rsidP="009D76C5">
      <w:pPr>
        <w:spacing w:after="0" w:line="240" w:lineRule="auto"/>
        <w:ind w:firstLine="567"/>
        <w:jc w:val="both"/>
        <w:rPr>
          <w:rFonts w:ascii="Times New Roman" w:hAnsi="Times New Roman"/>
          <w:sz w:val="24"/>
          <w:szCs w:val="24"/>
        </w:rPr>
      </w:pPr>
      <w:proofErr w:type="spellStart"/>
      <w:r w:rsidRPr="003653DF">
        <w:rPr>
          <w:rFonts w:ascii="Times New Roman" w:hAnsi="Times New Roman"/>
          <w:sz w:val="24"/>
          <w:szCs w:val="24"/>
        </w:rPr>
        <w:t>Томсклесхоз</w:t>
      </w:r>
      <w:proofErr w:type="spellEnd"/>
      <w:r w:rsidRPr="003653DF">
        <w:rPr>
          <w:rFonts w:ascii="Times New Roman" w:hAnsi="Times New Roman"/>
          <w:sz w:val="24"/>
          <w:szCs w:val="24"/>
        </w:rPr>
        <w:t xml:space="preserve"> является одним из участников 4 мероприятий подпрограммы с объемом финансирования 564,5 млн.руб. входящих в состав основного мероприятия «Осуществление отдельных полномочий в области лесных отношений», в том числе:</w:t>
      </w:r>
    </w:p>
    <w:p w:rsidR="00AD1C44" w:rsidRPr="003653DF" w:rsidRDefault="00AD1C44"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«Устройство противопожарных минерализованных полос», «Прочистка противопожарных минерализованных полос и их обновление»;</w:t>
      </w:r>
    </w:p>
    <w:p w:rsidR="00AD1C44" w:rsidRPr="003653DF" w:rsidRDefault="00AD1C44"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«Мониторинг пожарной опасности в лесах и лесных пожаров»;</w:t>
      </w:r>
    </w:p>
    <w:p w:rsidR="00AD1C44" w:rsidRPr="003653DF" w:rsidRDefault="00AD1C44"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«Тушение лесных пожаров».</w:t>
      </w:r>
    </w:p>
    <w:p w:rsidR="00AD1C44" w:rsidRPr="003653DF" w:rsidRDefault="00AD1C44"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А также исполнителем 1 мероприятия (в составе ВЦП) «Выполнение государственных работ в сфере лесного хозяйства областными государственными учреждениями, подведомственными Департаменту лесного хозяйства Томской области, в соответствии с государственным заданием» с объемом финансирования 39,3 млн.руб.</w:t>
      </w:r>
    </w:p>
    <w:p w:rsidR="00AD1C44" w:rsidRPr="003653DF" w:rsidRDefault="00AD1C44"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На 2022 год ОГАУ «</w:t>
      </w:r>
      <w:proofErr w:type="spellStart"/>
      <w:r w:rsidRPr="003653DF">
        <w:rPr>
          <w:rFonts w:ascii="Times New Roman" w:hAnsi="Times New Roman"/>
          <w:sz w:val="24"/>
          <w:szCs w:val="24"/>
        </w:rPr>
        <w:t>Томсклесхоз</w:t>
      </w:r>
      <w:proofErr w:type="spellEnd"/>
      <w:r w:rsidRPr="003653DF">
        <w:rPr>
          <w:rFonts w:ascii="Times New Roman" w:hAnsi="Times New Roman"/>
          <w:sz w:val="24"/>
          <w:szCs w:val="24"/>
        </w:rPr>
        <w:t>» доведено государственное задание на выполнение 8 государственных работ.</w:t>
      </w:r>
    </w:p>
    <w:p w:rsidR="00C87601" w:rsidRPr="003653DF" w:rsidRDefault="00B047FC"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 ходе мероприятия выявлены такие нарушения (недостатки)</w:t>
      </w:r>
      <w:r w:rsidR="003B372C">
        <w:rPr>
          <w:rFonts w:ascii="Times New Roman" w:hAnsi="Times New Roman"/>
          <w:sz w:val="24"/>
          <w:szCs w:val="24"/>
        </w:rPr>
        <w:t>,</w:t>
      </w:r>
      <w:r w:rsidRPr="003653DF">
        <w:rPr>
          <w:rFonts w:ascii="Times New Roman" w:hAnsi="Times New Roman"/>
          <w:sz w:val="24"/>
          <w:szCs w:val="24"/>
        </w:rPr>
        <w:t xml:space="preserve"> как: (</w:t>
      </w:r>
      <w:r w:rsidR="00C87601" w:rsidRPr="003653DF">
        <w:rPr>
          <w:rFonts w:ascii="Times New Roman" w:hAnsi="Times New Roman"/>
          <w:sz w:val="24"/>
          <w:szCs w:val="24"/>
        </w:rPr>
        <w:t>Департамент лесного хозяйства</w:t>
      </w:r>
      <w:r w:rsidRPr="003653DF">
        <w:rPr>
          <w:rFonts w:ascii="Times New Roman" w:hAnsi="Times New Roman"/>
          <w:sz w:val="24"/>
          <w:szCs w:val="24"/>
        </w:rPr>
        <w:t xml:space="preserve">) </w:t>
      </w:r>
      <w:r w:rsidR="00C87601" w:rsidRPr="003653DF">
        <w:rPr>
          <w:rFonts w:ascii="Times New Roman" w:hAnsi="Times New Roman"/>
          <w:sz w:val="24"/>
          <w:szCs w:val="24"/>
        </w:rPr>
        <w:t xml:space="preserve">некачественная подготовка </w:t>
      </w:r>
      <w:proofErr w:type="spellStart"/>
      <w:r w:rsidR="00C87601" w:rsidRPr="003653DF">
        <w:rPr>
          <w:rFonts w:ascii="Times New Roman" w:hAnsi="Times New Roman"/>
          <w:sz w:val="24"/>
          <w:szCs w:val="24"/>
        </w:rPr>
        <w:t>гос.задания</w:t>
      </w:r>
      <w:proofErr w:type="spellEnd"/>
      <w:r w:rsidR="00C87601" w:rsidRPr="003653DF">
        <w:rPr>
          <w:rFonts w:ascii="Times New Roman" w:hAnsi="Times New Roman"/>
          <w:sz w:val="24"/>
          <w:szCs w:val="24"/>
        </w:rPr>
        <w:t xml:space="preserve">, </w:t>
      </w:r>
      <w:r w:rsidRPr="003653DF">
        <w:rPr>
          <w:rFonts w:ascii="Times New Roman" w:hAnsi="Times New Roman"/>
          <w:sz w:val="24"/>
          <w:szCs w:val="24"/>
        </w:rPr>
        <w:t>госпрограммы</w:t>
      </w:r>
      <w:r w:rsidR="00C87601" w:rsidRPr="003653DF">
        <w:rPr>
          <w:rFonts w:ascii="Times New Roman" w:hAnsi="Times New Roman"/>
          <w:sz w:val="24"/>
          <w:szCs w:val="24"/>
        </w:rPr>
        <w:t>, ВЦП, Порядка определения нормативных затрат</w:t>
      </w:r>
      <w:r w:rsidRPr="003653DF">
        <w:rPr>
          <w:rFonts w:ascii="Times New Roman" w:hAnsi="Times New Roman"/>
          <w:sz w:val="24"/>
          <w:szCs w:val="24"/>
        </w:rPr>
        <w:t xml:space="preserve">; </w:t>
      </w:r>
      <w:r w:rsidR="00C87601" w:rsidRPr="003653DF">
        <w:rPr>
          <w:rFonts w:ascii="Times New Roman" w:hAnsi="Times New Roman"/>
          <w:sz w:val="24"/>
          <w:szCs w:val="24"/>
        </w:rPr>
        <w:t>несоблюдение Порядка фин</w:t>
      </w:r>
      <w:r w:rsidRPr="003653DF">
        <w:rPr>
          <w:rFonts w:ascii="Times New Roman" w:hAnsi="Times New Roman"/>
          <w:sz w:val="24"/>
          <w:szCs w:val="24"/>
        </w:rPr>
        <w:t xml:space="preserve">ансового </w:t>
      </w:r>
      <w:r w:rsidR="00C87601" w:rsidRPr="003653DF">
        <w:rPr>
          <w:rFonts w:ascii="Times New Roman" w:hAnsi="Times New Roman"/>
          <w:sz w:val="24"/>
          <w:szCs w:val="24"/>
        </w:rPr>
        <w:t>обе</w:t>
      </w:r>
      <w:r w:rsidRPr="003653DF">
        <w:rPr>
          <w:rFonts w:ascii="Times New Roman" w:hAnsi="Times New Roman"/>
          <w:sz w:val="24"/>
          <w:szCs w:val="24"/>
        </w:rPr>
        <w:t xml:space="preserve">спечения выполнения </w:t>
      </w:r>
      <w:proofErr w:type="spellStart"/>
      <w:r w:rsidRPr="003653DF">
        <w:rPr>
          <w:rFonts w:ascii="Times New Roman" w:hAnsi="Times New Roman"/>
          <w:sz w:val="24"/>
          <w:szCs w:val="24"/>
        </w:rPr>
        <w:t>гос.задания</w:t>
      </w:r>
      <w:proofErr w:type="spellEnd"/>
      <w:r w:rsidRPr="003653DF">
        <w:rPr>
          <w:rFonts w:ascii="Times New Roman" w:hAnsi="Times New Roman"/>
          <w:sz w:val="24"/>
          <w:szCs w:val="24"/>
        </w:rPr>
        <w:t xml:space="preserve">; </w:t>
      </w:r>
      <w:r w:rsidR="00C87601" w:rsidRPr="003653DF">
        <w:rPr>
          <w:rFonts w:ascii="Times New Roman" w:hAnsi="Times New Roman"/>
          <w:sz w:val="24"/>
          <w:szCs w:val="24"/>
        </w:rPr>
        <w:t xml:space="preserve">19,8 </w:t>
      </w:r>
      <w:proofErr w:type="spellStart"/>
      <w:r w:rsidR="00C87601" w:rsidRPr="003653DF">
        <w:rPr>
          <w:rFonts w:ascii="Times New Roman" w:hAnsi="Times New Roman"/>
          <w:sz w:val="24"/>
          <w:szCs w:val="24"/>
        </w:rPr>
        <w:t>тыс.чел</w:t>
      </w:r>
      <w:proofErr w:type="spellEnd"/>
      <w:r w:rsidR="00C87601" w:rsidRPr="003653DF">
        <w:rPr>
          <w:rFonts w:ascii="Times New Roman" w:hAnsi="Times New Roman"/>
          <w:sz w:val="24"/>
          <w:szCs w:val="24"/>
        </w:rPr>
        <w:t>. не смогли реализовать право на заготовку древесины для собственных нужд</w:t>
      </w:r>
      <w:r w:rsidRPr="003653DF">
        <w:rPr>
          <w:rFonts w:ascii="Times New Roman" w:hAnsi="Times New Roman"/>
          <w:sz w:val="24"/>
          <w:szCs w:val="24"/>
        </w:rPr>
        <w:t>; (</w:t>
      </w:r>
      <w:proofErr w:type="spellStart"/>
      <w:r w:rsidR="00C87601" w:rsidRPr="003653DF">
        <w:rPr>
          <w:rFonts w:ascii="Times New Roman" w:hAnsi="Times New Roman"/>
          <w:sz w:val="24"/>
          <w:szCs w:val="24"/>
        </w:rPr>
        <w:t>Томсклесхоз</w:t>
      </w:r>
      <w:proofErr w:type="spellEnd"/>
      <w:r w:rsidRPr="003653DF">
        <w:rPr>
          <w:rFonts w:ascii="Times New Roman" w:hAnsi="Times New Roman"/>
          <w:sz w:val="24"/>
          <w:szCs w:val="24"/>
        </w:rPr>
        <w:t xml:space="preserve">) </w:t>
      </w:r>
      <w:r w:rsidR="00C87601" w:rsidRPr="003653DF">
        <w:rPr>
          <w:rFonts w:ascii="Times New Roman" w:hAnsi="Times New Roman"/>
          <w:sz w:val="24"/>
          <w:szCs w:val="24"/>
        </w:rPr>
        <w:t>некачественная подготовка Положения о системе оплаты труда, Учетной политики, штатных расписаний</w:t>
      </w:r>
      <w:r w:rsidRPr="003653DF">
        <w:rPr>
          <w:rFonts w:ascii="Times New Roman" w:hAnsi="Times New Roman"/>
          <w:sz w:val="24"/>
          <w:szCs w:val="24"/>
        </w:rPr>
        <w:t xml:space="preserve">; </w:t>
      </w:r>
      <w:r w:rsidR="00C87601" w:rsidRPr="003653DF">
        <w:rPr>
          <w:rFonts w:ascii="Times New Roman" w:hAnsi="Times New Roman"/>
          <w:sz w:val="24"/>
          <w:szCs w:val="24"/>
        </w:rPr>
        <w:t>несоблюдение Инструкции по применению Единого плана счетов</w:t>
      </w:r>
      <w:r w:rsidRPr="003653DF">
        <w:rPr>
          <w:rFonts w:ascii="Times New Roman" w:hAnsi="Times New Roman"/>
          <w:sz w:val="24"/>
          <w:szCs w:val="24"/>
        </w:rPr>
        <w:t xml:space="preserve">; </w:t>
      </w:r>
      <w:r w:rsidR="00C87601" w:rsidRPr="003653DF">
        <w:rPr>
          <w:rFonts w:ascii="Times New Roman" w:hAnsi="Times New Roman"/>
          <w:sz w:val="24"/>
          <w:szCs w:val="24"/>
        </w:rPr>
        <w:t xml:space="preserve"> направление субсидии в сумме 0,9 млн.руб. на оплату коммунальных услуг </w:t>
      </w:r>
      <w:r w:rsidR="00C87601" w:rsidRPr="003653DF">
        <w:rPr>
          <w:rFonts w:ascii="Times New Roman" w:hAnsi="Times New Roman"/>
          <w:i/>
          <w:iCs/>
          <w:sz w:val="24"/>
          <w:szCs w:val="24"/>
        </w:rPr>
        <w:t xml:space="preserve">(квалифицировано как </w:t>
      </w:r>
      <w:r w:rsidR="00A31AFB" w:rsidRPr="003653DF">
        <w:rPr>
          <w:rFonts w:ascii="Times New Roman" w:hAnsi="Times New Roman"/>
          <w:i/>
          <w:iCs/>
          <w:sz w:val="24"/>
          <w:szCs w:val="24"/>
        </w:rPr>
        <w:t>н</w:t>
      </w:r>
      <w:r w:rsidRPr="003653DF">
        <w:rPr>
          <w:rFonts w:ascii="Times New Roman" w:hAnsi="Times New Roman"/>
          <w:i/>
          <w:iCs/>
          <w:sz w:val="24"/>
          <w:szCs w:val="24"/>
        </w:rPr>
        <w:t>ецелевое использование бюджетных средств</w:t>
      </w:r>
      <w:r w:rsidR="00C87601" w:rsidRPr="003653DF">
        <w:rPr>
          <w:rFonts w:ascii="Times New Roman" w:hAnsi="Times New Roman"/>
          <w:i/>
          <w:iCs/>
          <w:sz w:val="24"/>
          <w:szCs w:val="24"/>
        </w:rPr>
        <w:t>)</w:t>
      </w:r>
      <w:r w:rsidRPr="003653DF">
        <w:rPr>
          <w:rFonts w:ascii="Times New Roman" w:hAnsi="Times New Roman"/>
          <w:i/>
          <w:iCs/>
          <w:sz w:val="24"/>
          <w:szCs w:val="24"/>
        </w:rPr>
        <w:t>.</w:t>
      </w:r>
    </w:p>
    <w:p w:rsidR="00C87601" w:rsidRPr="003653DF" w:rsidRDefault="00B047FC"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П</w:t>
      </w:r>
      <w:r w:rsidR="00C87601" w:rsidRPr="003653DF">
        <w:rPr>
          <w:rFonts w:ascii="Times New Roman" w:hAnsi="Times New Roman"/>
          <w:sz w:val="24"/>
          <w:szCs w:val="24"/>
        </w:rPr>
        <w:t>оказатель задачи подпрограммы и конечного результата ВЦП - «Доля незаконных рубок леса в общем объеме лесозаготовок» не достигнут.</w:t>
      </w:r>
      <w:r w:rsidRPr="003653DF">
        <w:rPr>
          <w:rFonts w:ascii="Times New Roman" w:hAnsi="Times New Roman"/>
          <w:sz w:val="24"/>
          <w:szCs w:val="24"/>
        </w:rPr>
        <w:t xml:space="preserve"> П</w:t>
      </w:r>
      <w:r w:rsidR="00C87601" w:rsidRPr="003653DF">
        <w:rPr>
          <w:rFonts w:ascii="Times New Roman" w:hAnsi="Times New Roman"/>
          <w:sz w:val="24"/>
          <w:szCs w:val="24"/>
        </w:rPr>
        <w:t xml:space="preserve">одпрограмма и ВЦП признаны по итогам года </w:t>
      </w:r>
      <w:r w:rsidR="00C87601" w:rsidRPr="003653DF">
        <w:rPr>
          <w:rFonts w:ascii="Times New Roman" w:hAnsi="Times New Roman"/>
          <w:i/>
          <w:iCs/>
          <w:sz w:val="24"/>
          <w:szCs w:val="24"/>
        </w:rPr>
        <w:t>высокоэффективными</w:t>
      </w:r>
      <w:r w:rsidR="00C87601" w:rsidRPr="003653DF">
        <w:rPr>
          <w:rFonts w:ascii="Times New Roman" w:hAnsi="Times New Roman"/>
          <w:sz w:val="24"/>
          <w:szCs w:val="24"/>
        </w:rPr>
        <w:t xml:space="preserve">, что поставлено </w:t>
      </w:r>
      <w:r w:rsidRPr="003653DF">
        <w:rPr>
          <w:rFonts w:ascii="Times New Roman" w:hAnsi="Times New Roman"/>
          <w:sz w:val="24"/>
          <w:szCs w:val="24"/>
        </w:rPr>
        <w:t xml:space="preserve">палатой </w:t>
      </w:r>
      <w:r w:rsidR="00C87601" w:rsidRPr="003653DF">
        <w:rPr>
          <w:rFonts w:ascii="Times New Roman" w:hAnsi="Times New Roman"/>
          <w:sz w:val="24"/>
          <w:szCs w:val="24"/>
        </w:rPr>
        <w:t>под сомнение, так как основные показатели не выполнены более чем на 60%, что свидетельствует о неэффективной реализации</w:t>
      </w:r>
      <w:r w:rsidR="00C87601" w:rsidRPr="003653DF">
        <w:rPr>
          <w:rFonts w:ascii="Times New Roman" w:hAnsi="Times New Roman"/>
          <w:sz w:val="24"/>
          <w:szCs w:val="24"/>
          <w:u w:val="single"/>
        </w:rPr>
        <w:t xml:space="preserve"> </w:t>
      </w:r>
      <w:r w:rsidR="00C87601" w:rsidRPr="003653DF">
        <w:rPr>
          <w:rFonts w:ascii="Times New Roman" w:hAnsi="Times New Roman"/>
          <w:sz w:val="24"/>
          <w:szCs w:val="24"/>
        </w:rPr>
        <w:t>подпрограммы и ВЦП.</w:t>
      </w:r>
    </w:p>
    <w:p w:rsidR="00B047FC" w:rsidRPr="003653DF" w:rsidRDefault="00B047FC"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По итогам мероприятия направлены представление и информационное письмо, в доход областного бюджета возвращено 0,9 млн.руб.</w:t>
      </w:r>
    </w:p>
    <w:p w:rsidR="00415799" w:rsidRPr="003653DF" w:rsidRDefault="00415799" w:rsidP="009D76C5">
      <w:pPr>
        <w:spacing w:after="0" w:line="240" w:lineRule="auto"/>
        <w:jc w:val="both"/>
        <w:rPr>
          <w:rFonts w:ascii="Times New Roman" w:hAnsi="Times New Roman"/>
          <w:sz w:val="24"/>
          <w:szCs w:val="24"/>
        </w:rPr>
      </w:pPr>
    </w:p>
    <w:p w:rsidR="00C87601" w:rsidRPr="003653DF" w:rsidRDefault="00BD6A47" w:rsidP="009D76C5">
      <w:pPr>
        <w:spacing w:after="0" w:line="240" w:lineRule="auto"/>
        <w:jc w:val="both"/>
        <w:rPr>
          <w:rFonts w:ascii="Times New Roman" w:hAnsi="Times New Roman"/>
          <w:b/>
          <w:bCs/>
          <w:sz w:val="24"/>
          <w:szCs w:val="24"/>
        </w:rPr>
      </w:pPr>
      <w:r w:rsidRPr="003653DF">
        <w:rPr>
          <w:rFonts w:ascii="Times New Roman" w:hAnsi="Times New Roman"/>
          <w:b/>
          <w:bCs/>
          <w:sz w:val="24"/>
          <w:szCs w:val="24"/>
        </w:rPr>
        <w:t>Контрольное мероприятие «Проверка финансово-хозяйственной деятельности Инспекции государственного технического надзора Томской области в 2022 году»</w:t>
      </w:r>
    </w:p>
    <w:p w:rsidR="00415799" w:rsidRPr="003653DF" w:rsidRDefault="00BD6A47"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Финансирование деятельности Инспекции </w:t>
      </w:r>
      <w:proofErr w:type="spellStart"/>
      <w:r w:rsidRPr="003653DF">
        <w:rPr>
          <w:rFonts w:ascii="Times New Roman" w:hAnsi="Times New Roman"/>
          <w:sz w:val="24"/>
          <w:szCs w:val="24"/>
        </w:rPr>
        <w:t>Гостехнадзора</w:t>
      </w:r>
      <w:proofErr w:type="spellEnd"/>
      <w:r w:rsidRPr="003653DF">
        <w:rPr>
          <w:rFonts w:ascii="Times New Roman" w:hAnsi="Times New Roman"/>
          <w:sz w:val="24"/>
          <w:szCs w:val="24"/>
        </w:rPr>
        <w:t xml:space="preserve"> Томской области в сумме 31,7 млн.руб. предусмотрено на 2022 год в рамках обеспечивающей подпрограммы ГП «Развитие сельского хозяйства, рынков сырья и продовольствия в Томской области».</w:t>
      </w:r>
    </w:p>
    <w:p w:rsidR="00A974F3" w:rsidRPr="003653DF" w:rsidRDefault="00A974F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Показателями цели госпрограммы определены: </w:t>
      </w:r>
    </w:p>
    <w:p w:rsidR="00A974F3" w:rsidRPr="003653DF" w:rsidRDefault="00A974F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 индекс производства продукции сельского хозяйства в хозяйствах всех категорий (в сопоставимых ценах (%) к предыдущему году, к 2020 году); </w:t>
      </w:r>
    </w:p>
    <w:p w:rsidR="00A974F3" w:rsidRPr="003653DF" w:rsidRDefault="00A974F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 объем переработки </w:t>
      </w:r>
      <w:proofErr w:type="spellStart"/>
      <w:r w:rsidRPr="003653DF">
        <w:rPr>
          <w:rFonts w:ascii="Times New Roman" w:hAnsi="Times New Roman"/>
          <w:sz w:val="24"/>
          <w:szCs w:val="24"/>
        </w:rPr>
        <w:t>рыбо</w:t>
      </w:r>
      <w:proofErr w:type="spellEnd"/>
      <w:r w:rsidRPr="003653DF">
        <w:rPr>
          <w:rFonts w:ascii="Times New Roman" w:hAnsi="Times New Roman"/>
          <w:sz w:val="24"/>
          <w:szCs w:val="24"/>
        </w:rPr>
        <w:t>- и морепродуктов (</w:t>
      </w:r>
      <w:proofErr w:type="spellStart"/>
      <w:r w:rsidRPr="003653DF">
        <w:rPr>
          <w:rFonts w:ascii="Times New Roman" w:hAnsi="Times New Roman"/>
          <w:sz w:val="24"/>
          <w:szCs w:val="24"/>
        </w:rPr>
        <w:t>тыс.тонн</w:t>
      </w:r>
      <w:proofErr w:type="spellEnd"/>
      <w:r w:rsidRPr="003653DF">
        <w:rPr>
          <w:rFonts w:ascii="Times New Roman" w:hAnsi="Times New Roman"/>
          <w:sz w:val="24"/>
          <w:szCs w:val="24"/>
        </w:rPr>
        <w:t>);</w:t>
      </w:r>
    </w:p>
    <w:p w:rsidR="00415799" w:rsidRPr="003653DF" w:rsidRDefault="00A974F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индекс промышленного производства по виду экономической деятельности «производство пищевых продуктов» (в сопоставимых ценах (%) к предыдущему году, к 2020 году).</w:t>
      </w:r>
    </w:p>
    <w:p w:rsidR="00A974F3" w:rsidRPr="003653DF" w:rsidRDefault="00A974F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ab/>
      </w:r>
      <w:r w:rsidRPr="003653DF">
        <w:rPr>
          <w:rFonts w:ascii="Times New Roman" w:hAnsi="Times New Roman"/>
          <w:bCs/>
          <w:sz w:val="24"/>
          <w:szCs w:val="24"/>
        </w:rPr>
        <w:t>Показатели деятельности</w:t>
      </w:r>
      <w:r w:rsidRPr="003653DF">
        <w:rPr>
          <w:rFonts w:ascii="Times New Roman" w:hAnsi="Times New Roman"/>
          <w:b/>
          <w:bCs/>
          <w:sz w:val="24"/>
          <w:szCs w:val="24"/>
        </w:rPr>
        <w:t xml:space="preserve"> </w:t>
      </w:r>
      <w:r w:rsidRPr="003653DF">
        <w:rPr>
          <w:rFonts w:ascii="Times New Roman" w:hAnsi="Times New Roman"/>
          <w:sz w:val="24"/>
          <w:szCs w:val="24"/>
        </w:rPr>
        <w:t xml:space="preserve">Инспекции </w:t>
      </w:r>
      <w:proofErr w:type="spellStart"/>
      <w:r w:rsidRPr="003653DF">
        <w:rPr>
          <w:rFonts w:ascii="Times New Roman" w:hAnsi="Times New Roman"/>
          <w:sz w:val="24"/>
          <w:szCs w:val="24"/>
        </w:rPr>
        <w:t>Гостехнадзора</w:t>
      </w:r>
      <w:proofErr w:type="spellEnd"/>
      <w:r w:rsidRPr="003653DF">
        <w:rPr>
          <w:rFonts w:ascii="Times New Roman" w:hAnsi="Times New Roman"/>
          <w:b/>
          <w:bCs/>
          <w:sz w:val="24"/>
          <w:szCs w:val="24"/>
        </w:rPr>
        <w:t>:</w:t>
      </w:r>
    </w:p>
    <w:p w:rsidR="00A974F3" w:rsidRPr="003653DF" w:rsidRDefault="00A974F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количество человек, погибших в результате нарушения обязательных требований, на 100 тыс. человек в год;</w:t>
      </w:r>
      <w:bookmarkStart w:id="0" w:name="Par5"/>
      <w:bookmarkEnd w:id="0"/>
    </w:p>
    <w:p w:rsidR="00A974F3" w:rsidRPr="003653DF" w:rsidRDefault="00A974F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количество человек, получивших вред здоровью в результате нарушения обязательных требований, на 100 тыс. человек в год.</w:t>
      </w:r>
    </w:p>
    <w:p w:rsidR="00A974F3" w:rsidRPr="003653DF" w:rsidRDefault="00A974F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 ходе мероприятия выявлены такие нарушения (недостатки)</w:t>
      </w:r>
      <w:r w:rsidR="003B372C">
        <w:rPr>
          <w:rFonts w:ascii="Times New Roman" w:hAnsi="Times New Roman"/>
          <w:sz w:val="24"/>
          <w:szCs w:val="24"/>
        </w:rPr>
        <w:t>,</w:t>
      </w:r>
      <w:r w:rsidRPr="003653DF">
        <w:rPr>
          <w:rFonts w:ascii="Times New Roman" w:hAnsi="Times New Roman"/>
          <w:sz w:val="24"/>
          <w:szCs w:val="24"/>
        </w:rPr>
        <w:t xml:space="preserve"> как: некачественная подготовка Учетной политики, штатного расписания, положений о выплатах и поощрениях персоналу, служебных контрактов, </w:t>
      </w:r>
      <w:proofErr w:type="spellStart"/>
      <w:r w:rsidRPr="003653DF">
        <w:rPr>
          <w:rFonts w:ascii="Times New Roman" w:hAnsi="Times New Roman"/>
          <w:sz w:val="24"/>
          <w:szCs w:val="24"/>
        </w:rPr>
        <w:t>гос.контрактов</w:t>
      </w:r>
      <w:proofErr w:type="spellEnd"/>
      <w:r w:rsidRPr="003653DF">
        <w:rPr>
          <w:rFonts w:ascii="Times New Roman" w:hAnsi="Times New Roman"/>
          <w:sz w:val="24"/>
          <w:szCs w:val="24"/>
        </w:rPr>
        <w:t>; недостатки в учете специальной продукции; нарушения при ведении бухгалтерского и бюджетного учета; несоблюдение условий договора аренды.</w:t>
      </w:r>
    </w:p>
    <w:p w:rsidR="00A974F3" w:rsidRPr="003653DF" w:rsidRDefault="00A974F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Ни один показатель государственной программы не связан с деятельностью Инспекции. Цель, задачи деятельности и функции </w:t>
      </w:r>
      <w:proofErr w:type="spellStart"/>
      <w:r w:rsidRPr="003653DF">
        <w:rPr>
          <w:rFonts w:ascii="Times New Roman" w:hAnsi="Times New Roman"/>
          <w:sz w:val="24"/>
          <w:szCs w:val="24"/>
        </w:rPr>
        <w:t>Гостехнадзора</w:t>
      </w:r>
      <w:proofErr w:type="spellEnd"/>
      <w:r w:rsidRPr="003653DF">
        <w:rPr>
          <w:rFonts w:ascii="Times New Roman" w:hAnsi="Times New Roman"/>
          <w:sz w:val="24"/>
          <w:szCs w:val="24"/>
        </w:rPr>
        <w:t xml:space="preserve"> Томской области непосредственно не связаны со сферой реализации государственной программы, в результате финансовое обеспечение деятельности Инспекции в рамках данной государственной программы не влияет на решение задач и достижение цели государственной программы, а лишь формально увеличивает объем ее финансирования. По итогам мероприятия направлено представление.</w:t>
      </w:r>
    </w:p>
    <w:p w:rsidR="00415799" w:rsidRPr="003653DF" w:rsidRDefault="00415799" w:rsidP="009D76C5">
      <w:pPr>
        <w:spacing w:after="0" w:line="240" w:lineRule="auto"/>
        <w:jc w:val="both"/>
        <w:rPr>
          <w:rFonts w:ascii="Times New Roman" w:hAnsi="Times New Roman"/>
          <w:sz w:val="24"/>
          <w:szCs w:val="24"/>
        </w:rPr>
      </w:pPr>
    </w:p>
    <w:p w:rsidR="00A974F3" w:rsidRPr="003653DF" w:rsidRDefault="006D2937" w:rsidP="009D76C5">
      <w:pPr>
        <w:spacing w:after="0" w:line="240" w:lineRule="auto"/>
        <w:jc w:val="both"/>
        <w:rPr>
          <w:rFonts w:ascii="Times New Roman" w:hAnsi="Times New Roman"/>
          <w:sz w:val="24"/>
          <w:szCs w:val="24"/>
        </w:rPr>
      </w:pPr>
      <w:r w:rsidRPr="003653DF">
        <w:rPr>
          <w:rFonts w:ascii="Times New Roman" w:hAnsi="Times New Roman"/>
          <w:b/>
          <w:bCs/>
          <w:sz w:val="24"/>
          <w:szCs w:val="24"/>
        </w:rPr>
        <w:t>Контрольное мероприятие «Проверка использования бюджетных средств, направленных в 2022 году на реализацию мероприятий подпрограммы «Развитие сельскохозяйственного производства в Томской области» государственной программы «Развитие сельского хозяйства, рынков сырья и продовольствия в Томской области» в части реализации ведомственной целевой программы «Кадровое, консультационное и информационное обеспечение агропромышленного комплекса»</w:t>
      </w:r>
    </w:p>
    <w:p w:rsidR="00A974F3" w:rsidRPr="003653DF" w:rsidRDefault="0028270B" w:rsidP="009D76C5">
      <w:pPr>
        <w:spacing w:after="0" w:line="240" w:lineRule="auto"/>
        <w:jc w:val="both"/>
        <w:rPr>
          <w:rFonts w:ascii="Times New Roman" w:hAnsi="Times New Roman"/>
          <w:sz w:val="24"/>
          <w:szCs w:val="24"/>
        </w:rPr>
      </w:pPr>
      <w:r w:rsidRPr="003653DF">
        <w:rPr>
          <w:rFonts w:ascii="Times New Roman" w:hAnsi="Times New Roman" w:cs="Times New Roman"/>
          <w:sz w:val="24"/>
          <w:szCs w:val="24"/>
        </w:rPr>
        <w:t xml:space="preserve">Объект </w:t>
      </w:r>
      <w:r w:rsidR="009D76C5">
        <w:rPr>
          <w:rFonts w:ascii="Times New Roman" w:hAnsi="Times New Roman" w:cs="Times New Roman"/>
          <w:sz w:val="24"/>
          <w:szCs w:val="24"/>
        </w:rPr>
        <w:t>проверки</w:t>
      </w:r>
      <w:r w:rsidRPr="003653DF">
        <w:rPr>
          <w:rFonts w:ascii="Times New Roman" w:hAnsi="Times New Roman" w:cs="Times New Roman"/>
          <w:sz w:val="24"/>
          <w:szCs w:val="24"/>
        </w:rPr>
        <w:t>:</w:t>
      </w:r>
      <w:r w:rsidRPr="003653DF">
        <w:t xml:space="preserve"> </w:t>
      </w:r>
      <w:r w:rsidRPr="003653DF">
        <w:rPr>
          <w:rFonts w:ascii="Times New Roman" w:hAnsi="Times New Roman" w:cs="Times New Roman"/>
          <w:sz w:val="24"/>
          <w:szCs w:val="24"/>
        </w:rPr>
        <w:t>Департамент по социально-экономическому развитию села Томской области</w:t>
      </w:r>
    </w:p>
    <w:p w:rsidR="002748E5" w:rsidRPr="003653DF" w:rsidRDefault="002748E5" w:rsidP="009D76C5">
      <w:pPr>
        <w:spacing w:after="0" w:line="240" w:lineRule="auto"/>
        <w:ind w:firstLine="567"/>
        <w:jc w:val="both"/>
        <w:rPr>
          <w:rFonts w:ascii="Times New Roman" w:eastAsia="Times New Roman" w:hAnsi="Times New Roman" w:cs="Times New Roman"/>
          <w:sz w:val="24"/>
          <w:szCs w:val="24"/>
          <w:lang w:eastAsia="ru-RU"/>
        </w:rPr>
      </w:pPr>
      <w:r w:rsidRPr="003653DF">
        <w:rPr>
          <w:rFonts w:ascii="Times New Roman" w:eastAsia="Times New Roman" w:hAnsi="Times New Roman" w:cs="Times New Roman"/>
          <w:sz w:val="24"/>
          <w:szCs w:val="24"/>
          <w:lang w:eastAsia="ru-RU"/>
        </w:rPr>
        <w:t>Исполнителями мероприятий ВЦП определены ОГБУ «Аграрный центр Томской области» и Департамент.</w:t>
      </w:r>
    </w:p>
    <w:p w:rsidR="002A560B" w:rsidRPr="003653DF" w:rsidRDefault="002748E5" w:rsidP="009D76C5">
      <w:pPr>
        <w:spacing w:after="0" w:line="240" w:lineRule="auto"/>
        <w:ind w:firstLine="567"/>
        <w:jc w:val="both"/>
        <w:rPr>
          <w:rFonts w:ascii="Times New Roman" w:hAnsi="Times New Roman"/>
          <w:sz w:val="24"/>
          <w:szCs w:val="24"/>
        </w:rPr>
      </w:pPr>
      <w:r w:rsidRPr="003653DF">
        <w:rPr>
          <w:rFonts w:ascii="Times New Roman" w:eastAsia="Times New Roman" w:hAnsi="Times New Roman" w:cs="Times New Roman"/>
          <w:sz w:val="24"/>
          <w:szCs w:val="24"/>
          <w:lang w:eastAsia="ru-RU"/>
        </w:rPr>
        <w:t>Объем расходов областного бюджета на реализацию ВЦП на 2022 год составил 54,6 млн.руб.</w:t>
      </w:r>
    </w:p>
    <w:p w:rsidR="00A974F3" w:rsidRPr="003653DF" w:rsidRDefault="002748E5" w:rsidP="009D76C5">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653DF">
        <w:rPr>
          <w:rFonts w:ascii="Times New Roman" w:eastAsia="Times New Roman" w:hAnsi="Times New Roman" w:cs="Times New Roman"/>
          <w:sz w:val="24"/>
          <w:szCs w:val="24"/>
          <w:lang w:eastAsia="ru-RU"/>
        </w:rPr>
        <w:t>Согласно Информации о реализации государственной программы</w:t>
      </w:r>
      <w:r w:rsidRPr="003653DF">
        <w:rPr>
          <w:rFonts w:ascii="Times New Roman" w:eastAsia="Times New Roman" w:hAnsi="Times New Roman" w:cs="Times New Roman"/>
          <w:sz w:val="24"/>
          <w:szCs w:val="24"/>
          <w:shd w:val="clear" w:color="auto" w:fill="FFFFFF"/>
          <w:lang w:eastAsia="ru-RU"/>
        </w:rPr>
        <w:t xml:space="preserve"> по итогам 2022 года показатели реализации мероприятий ВЦП выполнены, показатели цели ВЦП достигнуты, при этом госпрограмма признана низкоэффективной.</w:t>
      </w:r>
    </w:p>
    <w:p w:rsidR="00A93088" w:rsidRPr="003653DF" w:rsidRDefault="00A93088" w:rsidP="009D76C5">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653DF">
        <w:rPr>
          <w:rFonts w:ascii="Times New Roman" w:eastAsia="Times New Roman" w:hAnsi="Times New Roman" w:cs="Times New Roman"/>
          <w:sz w:val="24"/>
          <w:szCs w:val="24"/>
          <w:shd w:val="clear" w:color="auto" w:fill="FFFFFF"/>
          <w:lang w:eastAsia="ru-RU"/>
        </w:rPr>
        <w:t>Показатели конечного результата ВЦП:</w:t>
      </w:r>
    </w:p>
    <w:p w:rsidR="00A974F3" w:rsidRPr="003653DF" w:rsidRDefault="00A93088" w:rsidP="009D76C5">
      <w:pPr>
        <w:spacing w:after="0" w:line="240" w:lineRule="auto"/>
        <w:jc w:val="both"/>
        <w:rPr>
          <w:rFonts w:ascii="Times New Roman" w:eastAsia="Times New Roman" w:hAnsi="Times New Roman" w:cs="Times New Roman"/>
          <w:sz w:val="24"/>
          <w:szCs w:val="24"/>
          <w:shd w:val="clear" w:color="auto" w:fill="FFFFFF"/>
          <w:lang w:eastAsia="ru-RU"/>
        </w:rPr>
      </w:pPr>
      <w:r w:rsidRPr="003653DF">
        <w:rPr>
          <w:rFonts w:ascii="Times New Roman" w:eastAsia="Times New Roman" w:hAnsi="Times New Roman" w:cs="Times New Roman"/>
          <w:sz w:val="24"/>
          <w:szCs w:val="24"/>
          <w:shd w:val="clear" w:color="auto" w:fill="FFFFFF"/>
          <w:lang w:eastAsia="ru-RU"/>
        </w:rPr>
        <w:t>- количество специалистов, привлеченных и/или закрепленных в сфере агропромышленного комплекса, чел. – 35,</w:t>
      </w:r>
    </w:p>
    <w:p w:rsidR="00A93088" w:rsidRPr="003653DF" w:rsidRDefault="00A93088" w:rsidP="009D76C5">
      <w:pPr>
        <w:spacing w:after="0" w:line="240" w:lineRule="auto"/>
        <w:jc w:val="both"/>
        <w:rPr>
          <w:rFonts w:ascii="Times New Roman" w:eastAsia="Times New Roman" w:hAnsi="Times New Roman" w:cs="Times New Roman"/>
          <w:sz w:val="24"/>
          <w:szCs w:val="24"/>
          <w:shd w:val="clear" w:color="auto" w:fill="FFFFFF"/>
          <w:lang w:eastAsia="ru-RU"/>
        </w:rPr>
      </w:pPr>
      <w:r w:rsidRPr="003653DF">
        <w:rPr>
          <w:rFonts w:ascii="Times New Roman" w:eastAsia="Times New Roman" w:hAnsi="Times New Roman" w:cs="Times New Roman"/>
          <w:sz w:val="24"/>
          <w:szCs w:val="24"/>
          <w:shd w:val="clear" w:color="auto" w:fill="FFFFFF"/>
          <w:lang w:eastAsia="ru-RU"/>
        </w:rPr>
        <w:t>- количество сельскохозяйственных товаропроизводителей, которым предоставлена консультационная помощь, шт. – 110.</w:t>
      </w:r>
    </w:p>
    <w:p w:rsidR="002A560B" w:rsidRPr="003653DF" w:rsidRDefault="002A560B"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 ходе мероприятия выявлены такие нарушения (недостатки)</w:t>
      </w:r>
      <w:r w:rsidR="003B372C">
        <w:rPr>
          <w:rFonts w:ascii="Times New Roman" w:hAnsi="Times New Roman"/>
          <w:sz w:val="24"/>
          <w:szCs w:val="24"/>
        </w:rPr>
        <w:t>,</w:t>
      </w:r>
      <w:r w:rsidRPr="003653DF">
        <w:rPr>
          <w:rFonts w:ascii="Times New Roman" w:hAnsi="Times New Roman"/>
          <w:sz w:val="24"/>
          <w:szCs w:val="24"/>
        </w:rPr>
        <w:t xml:space="preserve"> как: несоблюдение Порядка </w:t>
      </w:r>
      <w:r w:rsidR="002748E5" w:rsidRPr="003653DF">
        <w:rPr>
          <w:rFonts w:ascii="Times New Roman" w:hAnsi="Times New Roman"/>
          <w:sz w:val="24"/>
          <w:szCs w:val="24"/>
        </w:rPr>
        <w:t xml:space="preserve">финансового </w:t>
      </w:r>
      <w:r w:rsidRPr="003653DF">
        <w:rPr>
          <w:rFonts w:ascii="Times New Roman" w:hAnsi="Times New Roman"/>
          <w:sz w:val="24"/>
          <w:szCs w:val="24"/>
        </w:rPr>
        <w:t xml:space="preserve">обеспечения </w:t>
      </w:r>
      <w:r w:rsidR="002748E5" w:rsidRPr="003653DF">
        <w:rPr>
          <w:rFonts w:ascii="Times New Roman" w:hAnsi="Times New Roman"/>
          <w:sz w:val="24"/>
          <w:szCs w:val="24"/>
        </w:rPr>
        <w:t>гос. задания</w:t>
      </w:r>
      <w:r w:rsidRPr="003653DF">
        <w:rPr>
          <w:rFonts w:ascii="Times New Roman" w:hAnsi="Times New Roman"/>
          <w:sz w:val="24"/>
          <w:szCs w:val="24"/>
        </w:rPr>
        <w:t xml:space="preserve">, Порядка определения базовых нормативов затрат на оказание </w:t>
      </w:r>
      <w:r w:rsidR="002748E5" w:rsidRPr="003653DF">
        <w:rPr>
          <w:rFonts w:ascii="Times New Roman" w:hAnsi="Times New Roman"/>
          <w:sz w:val="24"/>
          <w:szCs w:val="24"/>
        </w:rPr>
        <w:t>гос. услуг</w:t>
      </w:r>
      <w:r w:rsidRPr="003653DF">
        <w:rPr>
          <w:rFonts w:ascii="Times New Roman" w:hAnsi="Times New Roman"/>
          <w:sz w:val="24"/>
          <w:szCs w:val="24"/>
        </w:rPr>
        <w:t xml:space="preserve">, Порядка определения затрат на выполнение работ, Порядка формирования гос. </w:t>
      </w:r>
      <w:r w:rsidR="002748E5" w:rsidRPr="003653DF">
        <w:rPr>
          <w:rFonts w:ascii="Times New Roman" w:hAnsi="Times New Roman"/>
          <w:sz w:val="24"/>
          <w:szCs w:val="24"/>
        </w:rPr>
        <w:t>з</w:t>
      </w:r>
      <w:r w:rsidRPr="003653DF">
        <w:rPr>
          <w:rFonts w:ascii="Times New Roman" w:hAnsi="Times New Roman"/>
          <w:sz w:val="24"/>
          <w:szCs w:val="24"/>
        </w:rPr>
        <w:t xml:space="preserve">адания;  некачественная подготовка </w:t>
      </w:r>
      <w:r w:rsidR="002748E5" w:rsidRPr="003653DF">
        <w:rPr>
          <w:rFonts w:ascii="Times New Roman" w:hAnsi="Times New Roman"/>
          <w:sz w:val="24"/>
          <w:szCs w:val="24"/>
        </w:rPr>
        <w:t>гос. задания</w:t>
      </w:r>
      <w:r w:rsidRPr="003653DF">
        <w:rPr>
          <w:rFonts w:ascii="Times New Roman" w:hAnsi="Times New Roman"/>
          <w:sz w:val="24"/>
          <w:szCs w:val="24"/>
        </w:rPr>
        <w:t xml:space="preserve">, соглашений о предоставлении субсидий; нарушения и недостатки при принятии и утверждении отчетности об исполнении </w:t>
      </w:r>
      <w:r w:rsidR="002748E5" w:rsidRPr="003653DF">
        <w:rPr>
          <w:rFonts w:ascii="Times New Roman" w:hAnsi="Times New Roman"/>
          <w:sz w:val="24"/>
          <w:szCs w:val="24"/>
        </w:rPr>
        <w:t>гос. задания</w:t>
      </w:r>
      <w:r w:rsidRPr="003653DF">
        <w:rPr>
          <w:rFonts w:ascii="Times New Roman" w:hAnsi="Times New Roman"/>
          <w:sz w:val="24"/>
          <w:szCs w:val="24"/>
        </w:rPr>
        <w:t>; недостоверная информация о реализации мероприятия; несоблюдение сроков размещения информации в ЕИС;  неиспользование по назначению приобретенного оборудования на сумму 10,3 млн.руб.</w:t>
      </w:r>
      <w:r w:rsidR="002748E5" w:rsidRPr="003653DF">
        <w:rPr>
          <w:rFonts w:ascii="Times New Roman" w:hAnsi="Times New Roman"/>
          <w:sz w:val="24"/>
          <w:szCs w:val="24"/>
        </w:rPr>
        <w:t xml:space="preserve"> </w:t>
      </w:r>
      <w:r w:rsidR="002748E5" w:rsidRPr="003653DF">
        <w:rPr>
          <w:rFonts w:ascii="Times New Roman" w:eastAsia="Calibri" w:hAnsi="Times New Roman" w:cs="Times New Roman"/>
          <w:sz w:val="24"/>
          <w:szCs w:val="24"/>
        </w:rPr>
        <w:t>Более 45% выделенных бюджетных средств на р</w:t>
      </w:r>
      <w:r w:rsidR="002748E5" w:rsidRPr="003653DF">
        <w:rPr>
          <w:rFonts w:ascii="Lucida Grande" w:eastAsia="Times New Roman" w:hAnsi="Lucida Grande" w:cs="Times New Roman"/>
          <w:sz w:val="24"/>
          <w:szCs w:val="24"/>
          <w:shd w:val="clear" w:color="auto" w:fill="FFFFFF"/>
          <w:lang w:eastAsia="ru-RU"/>
        </w:rPr>
        <w:t xml:space="preserve">еализацию мероприятий </w:t>
      </w:r>
      <w:r w:rsidR="002748E5" w:rsidRPr="003653DF">
        <w:rPr>
          <w:rFonts w:ascii="Times New Roman" w:eastAsia="Times New Roman" w:hAnsi="Times New Roman" w:cs="Times New Roman"/>
          <w:sz w:val="24"/>
          <w:szCs w:val="24"/>
          <w:lang w:eastAsia="ru-RU"/>
        </w:rPr>
        <w:t xml:space="preserve">ВЦП </w:t>
      </w:r>
      <w:r w:rsidR="002748E5" w:rsidRPr="003653DF">
        <w:rPr>
          <w:rFonts w:ascii="Lucida Grande" w:eastAsia="Times New Roman" w:hAnsi="Lucida Grande" w:cs="Times New Roman"/>
          <w:sz w:val="24"/>
          <w:szCs w:val="24"/>
          <w:shd w:val="clear" w:color="auto" w:fill="FFFFFF"/>
          <w:lang w:eastAsia="ru-RU"/>
        </w:rPr>
        <w:t>не принесли ожидаемого результата</w:t>
      </w:r>
    </w:p>
    <w:p w:rsidR="00A974F3" w:rsidRPr="003653DF" w:rsidRDefault="002A560B"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По итогам мероприятия к дисциплинарной ответственности привлечено 3 должностных лица, принято 2 приказа и распоряжение.</w:t>
      </w:r>
    </w:p>
    <w:p w:rsidR="00A974F3" w:rsidRPr="003653DF" w:rsidRDefault="00A974F3" w:rsidP="009D76C5">
      <w:pPr>
        <w:spacing w:after="0" w:line="240" w:lineRule="auto"/>
        <w:jc w:val="both"/>
        <w:rPr>
          <w:rFonts w:ascii="Times New Roman" w:hAnsi="Times New Roman"/>
          <w:sz w:val="24"/>
          <w:szCs w:val="24"/>
        </w:rPr>
      </w:pPr>
    </w:p>
    <w:p w:rsidR="00A974F3" w:rsidRPr="003653DF" w:rsidRDefault="00D04F55" w:rsidP="009D76C5">
      <w:pPr>
        <w:spacing w:after="0" w:line="240" w:lineRule="auto"/>
        <w:jc w:val="both"/>
        <w:rPr>
          <w:rFonts w:ascii="Times New Roman" w:hAnsi="Times New Roman"/>
          <w:b/>
          <w:bCs/>
          <w:sz w:val="24"/>
          <w:szCs w:val="24"/>
        </w:rPr>
      </w:pPr>
      <w:r w:rsidRPr="003653DF">
        <w:rPr>
          <w:rFonts w:ascii="Times New Roman" w:hAnsi="Times New Roman"/>
          <w:b/>
          <w:bCs/>
          <w:sz w:val="24"/>
          <w:szCs w:val="24"/>
        </w:rPr>
        <w:t>Контрольное мероприятие «Проверка деятельности уполномоченных органов государственной власти субъектов Российской Федерации по управлению государственным долгом, связанной с использованием бюджетных кредитов, предоставленных из федерального бюджета в 2020–2022 годах»</w:t>
      </w:r>
    </w:p>
    <w:p w:rsidR="00D04F55" w:rsidRPr="003653DF" w:rsidRDefault="00D04F55"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Объект проверки: Департамент финансов Томской области.</w:t>
      </w:r>
    </w:p>
    <w:p w:rsidR="00BC3B73" w:rsidRPr="003653DF" w:rsidRDefault="00BC3B73"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Цели контрольного мероприятия:</w:t>
      </w:r>
    </w:p>
    <w:p w:rsidR="00BC3B73" w:rsidRPr="003653DF" w:rsidRDefault="00BC3B73"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 проверить использование бюджетных кредитов из федерального бюджета на пополнение остатков средств на счете бюджета Томской области;</w:t>
      </w:r>
    </w:p>
    <w:p w:rsidR="00BC3B73" w:rsidRPr="003653DF" w:rsidRDefault="00BC3B73"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 проверить использование бюджетных кредитов, предоставленных из федерального бюджета на замещение коммерческой задолженности;</w:t>
      </w:r>
    </w:p>
    <w:p w:rsidR="00BC3B73" w:rsidRPr="003653DF" w:rsidRDefault="00BC3B73"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 оценить влияние инфраструктурных бюджетных кредитов на сокращение государственного долга Томской области.</w:t>
      </w:r>
    </w:p>
    <w:p w:rsidR="00BC3B73" w:rsidRPr="003653DF" w:rsidRDefault="00BC3B73"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 оценить влияние проведенной в 2020-2022 годах реструктуризации бюджетных кредитов на сокращение государственного долга Томской области.</w:t>
      </w:r>
    </w:p>
    <w:p w:rsidR="00A974F3" w:rsidRPr="003653DF" w:rsidRDefault="00BC3B73"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Выводы по итогам мероприятия:</w:t>
      </w:r>
    </w:p>
    <w:p w:rsidR="00BC3B73" w:rsidRPr="003653DF" w:rsidRDefault="00BC3B73" w:rsidP="009D76C5">
      <w:pPr>
        <w:pStyle w:val="a4"/>
        <w:numPr>
          <w:ilvl w:val="0"/>
          <w:numId w:val="9"/>
        </w:numPr>
        <w:spacing w:after="0" w:line="240" w:lineRule="auto"/>
        <w:ind w:left="0" w:firstLine="284"/>
        <w:jc w:val="both"/>
        <w:rPr>
          <w:rFonts w:ascii="Times New Roman" w:eastAsia="Times New Roman" w:hAnsi="Times New Roman"/>
          <w:sz w:val="24"/>
          <w:szCs w:val="24"/>
          <w:lang w:eastAsia="ru-RU"/>
        </w:rPr>
      </w:pPr>
      <w:r w:rsidRPr="003653DF">
        <w:rPr>
          <w:rFonts w:ascii="Times New Roman" w:hAnsi="Times New Roman"/>
          <w:sz w:val="24"/>
          <w:szCs w:val="24"/>
        </w:rPr>
        <w:t>Основными направлениями государственной долговой политики Томской области на 2022-2024 годы предусмотрена необходимость выполнения условий соглашения с Министерством финансов РФ о предоставлении бюджету Томской области из федерального бюджета бюджетного кредита для погашения долговых обязательств в виде обязательств по государственным ценным бумагам и кредитам, полученным от кредитных организаций, при этом в Основных направлениях государственной долговой политики Томской области на 2021-2023 годы такая необходимость не устанавливалась.</w:t>
      </w:r>
    </w:p>
    <w:p w:rsidR="00BC3B73" w:rsidRPr="003653DF" w:rsidRDefault="00BC3B73" w:rsidP="009D76C5">
      <w:pPr>
        <w:pStyle w:val="a4"/>
        <w:numPr>
          <w:ilvl w:val="0"/>
          <w:numId w:val="9"/>
        </w:numPr>
        <w:autoSpaceDE w:val="0"/>
        <w:autoSpaceDN w:val="0"/>
        <w:adjustRightInd w:val="0"/>
        <w:spacing w:after="0" w:line="240" w:lineRule="auto"/>
        <w:ind w:left="0" w:firstLine="284"/>
        <w:jc w:val="both"/>
        <w:rPr>
          <w:rFonts w:ascii="Times New Roman" w:hAnsi="Times New Roman"/>
          <w:sz w:val="24"/>
          <w:szCs w:val="24"/>
        </w:rPr>
      </w:pPr>
      <w:r w:rsidRPr="003653DF">
        <w:rPr>
          <w:rFonts w:ascii="Times New Roman" w:hAnsi="Times New Roman"/>
          <w:sz w:val="24"/>
          <w:szCs w:val="24"/>
        </w:rPr>
        <w:t>В ведомственных целевых программах Томской области «Эффективное управление государственным долгом Томской области» за 2020-2022 годы, за 2021-2023 годы и за 2022-2024 годы отсутствовали показатели (мероприятия), связанные с бюджетными кредитами, полученными из федерального бюджета, а также показатели, связанные со снижением объема государственного долга и/или долговой нагрузки, при этом предусматривались показатели, связанные с ростом объема рыночного государственного долга, выраженного в облигациях для населения и роста доли государственных ценных бумаг в общем объеме государственного долга Томской области.</w:t>
      </w:r>
    </w:p>
    <w:p w:rsidR="00BC3B73" w:rsidRPr="003653DF" w:rsidRDefault="00BC3B73" w:rsidP="009D76C5">
      <w:pPr>
        <w:pStyle w:val="a4"/>
        <w:numPr>
          <w:ilvl w:val="0"/>
          <w:numId w:val="9"/>
        </w:numPr>
        <w:spacing w:after="0" w:line="240" w:lineRule="auto"/>
        <w:ind w:left="0" w:firstLine="284"/>
        <w:jc w:val="both"/>
        <w:rPr>
          <w:rFonts w:ascii="Times New Roman" w:hAnsi="Times New Roman"/>
          <w:sz w:val="24"/>
          <w:szCs w:val="24"/>
        </w:rPr>
      </w:pPr>
      <w:r w:rsidRPr="003653DF">
        <w:rPr>
          <w:rFonts w:ascii="Times New Roman" w:hAnsi="Times New Roman"/>
          <w:sz w:val="24"/>
          <w:szCs w:val="24"/>
        </w:rPr>
        <w:t>Бюджетные кредиты на пополнение остатка средств на едином счете бюджета в 2020-2021 годы использовались в том числе для рефинансирования банковских кредитов, в 2022 году использовались на текущие цели.</w:t>
      </w:r>
    </w:p>
    <w:p w:rsidR="00BC3B73" w:rsidRPr="003653DF" w:rsidRDefault="00BC3B73" w:rsidP="009D76C5">
      <w:pPr>
        <w:pStyle w:val="a4"/>
        <w:numPr>
          <w:ilvl w:val="0"/>
          <w:numId w:val="9"/>
        </w:numPr>
        <w:spacing w:after="0" w:line="240" w:lineRule="auto"/>
        <w:ind w:left="0" w:firstLine="284"/>
        <w:jc w:val="both"/>
        <w:rPr>
          <w:rFonts w:ascii="Times New Roman" w:hAnsi="Times New Roman"/>
          <w:sz w:val="24"/>
          <w:szCs w:val="24"/>
        </w:rPr>
      </w:pPr>
      <w:r w:rsidRPr="003653DF">
        <w:rPr>
          <w:rFonts w:ascii="Times New Roman" w:hAnsi="Times New Roman"/>
          <w:sz w:val="24"/>
          <w:szCs w:val="24"/>
        </w:rPr>
        <w:t xml:space="preserve">Привлечение бюджетных кредитов на пополнение остатков средств на едином счете бюджета в 2020-2022 годы позволило снизить расходы на обслуживание государственного долга Томской области, при этом не повлекло за собой снижение объема государственного долга Томской области, однако при заключении соглашений в одни и те же временные периоды (в начале финансового года) могло бы привести к более значительной экономии бюджетных средств. </w:t>
      </w:r>
    </w:p>
    <w:p w:rsidR="00BC3B73" w:rsidRPr="003653DF" w:rsidRDefault="00BC3B73" w:rsidP="009D76C5">
      <w:pPr>
        <w:pStyle w:val="a4"/>
        <w:numPr>
          <w:ilvl w:val="0"/>
          <w:numId w:val="9"/>
        </w:numPr>
        <w:spacing w:after="0" w:line="240" w:lineRule="auto"/>
        <w:ind w:left="0" w:firstLine="284"/>
        <w:jc w:val="both"/>
        <w:rPr>
          <w:rFonts w:ascii="Times New Roman" w:hAnsi="Times New Roman"/>
          <w:sz w:val="24"/>
          <w:szCs w:val="24"/>
        </w:rPr>
      </w:pPr>
      <w:r w:rsidRPr="003653DF">
        <w:rPr>
          <w:rFonts w:ascii="Times New Roman" w:hAnsi="Times New Roman"/>
          <w:sz w:val="24"/>
          <w:szCs w:val="24"/>
        </w:rPr>
        <w:t xml:space="preserve">Привлечение бюджетных кредитов из федерального бюджета для погашения рыночного долга в 2021-2022 годах не повлекло сокращение объема государственного долга Томской области, а также существенно не повлияло на снижение расходов на обслуживание государственного долга, так как рыночные долговые обязательства погашались преимущественно в даты планового погашения, наличие в продолжительном времени неиспользованного в 2021-2022 годах </w:t>
      </w:r>
      <w:r w:rsidRPr="003653DF">
        <w:rPr>
          <w:rFonts w:ascii="Times New Roman" w:hAnsi="Times New Roman"/>
          <w:bCs/>
          <w:iCs/>
          <w:sz w:val="24"/>
          <w:szCs w:val="24"/>
        </w:rPr>
        <w:t>остатка бюджетного кредита в размере 5 170,6 млн.руб., который не был направлен на погашение рыночных долговых обязательств.</w:t>
      </w:r>
    </w:p>
    <w:p w:rsidR="00BC3B73" w:rsidRPr="003653DF" w:rsidRDefault="00BC3B73" w:rsidP="009D76C5">
      <w:pPr>
        <w:pStyle w:val="a4"/>
        <w:numPr>
          <w:ilvl w:val="0"/>
          <w:numId w:val="9"/>
        </w:numPr>
        <w:spacing w:after="0" w:line="240" w:lineRule="auto"/>
        <w:ind w:left="0" w:firstLine="284"/>
        <w:jc w:val="both"/>
        <w:rPr>
          <w:rFonts w:ascii="Times New Roman" w:hAnsi="Times New Roman"/>
          <w:sz w:val="24"/>
          <w:szCs w:val="24"/>
        </w:rPr>
      </w:pPr>
      <w:r w:rsidRPr="003653DF">
        <w:rPr>
          <w:rFonts w:ascii="Times New Roman" w:hAnsi="Times New Roman"/>
          <w:sz w:val="24"/>
          <w:szCs w:val="24"/>
        </w:rPr>
        <w:t>Реструктуризация бюджетных кредитов в 2020-2022 годах не повлияла как на сокращение государственного долга Томской области, так и на снижение расходов на его обслуживание.</w:t>
      </w:r>
    </w:p>
    <w:p w:rsidR="00A974F3" w:rsidRPr="003653DF" w:rsidRDefault="00A974F3" w:rsidP="009D76C5">
      <w:pPr>
        <w:spacing w:after="0" w:line="240" w:lineRule="auto"/>
        <w:jc w:val="both"/>
        <w:rPr>
          <w:rFonts w:ascii="Times New Roman" w:hAnsi="Times New Roman"/>
          <w:sz w:val="24"/>
          <w:szCs w:val="24"/>
        </w:rPr>
      </w:pPr>
    </w:p>
    <w:p w:rsidR="00F11221" w:rsidRPr="003653DF" w:rsidRDefault="00F11221" w:rsidP="009D76C5">
      <w:pPr>
        <w:spacing w:after="0" w:line="240" w:lineRule="auto"/>
        <w:jc w:val="both"/>
        <w:rPr>
          <w:rFonts w:ascii="Times New Roman" w:hAnsi="Times New Roman"/>
          <w:b/>
          <w:bCs/>
          <w:sz w:val="24"/>
          <w:szCs w:val="24"/>
        </w:rPr>
      </w:pPr>
      <w:r w:rsidRPr="003653DF">
        <w:rPr>
          <w:rFonts w:ascii="Times New Roman" w:hAnsi="Times New Roman"/>
          <w:b/>
          <w:bCs/>
          <w:sz w:val="24"/>
          <w:szCs w:val="24"/>
        </w:rPr>
        <w:t>Контрольное мероприятие «Проверка использования бюджетных средств, направленных на мероприятия ВЦП «Подготовка кадров для инновационного развития экономики региона» подпрограммы «Развитие научно-образовательного комплекса и инновационного сектора экономики Томской области» государственной программы «Развитие инновационной деятельности и науки в Томской области» за 2021 – 2022 гг.</w:t>
      </w:r>
    </w:p>
    <w:p w:rsidR="00A974F3" w:rsidRPr="003653DF" w:rsidRDefault="00F11221" w:rsidP="009D76C5">
      <w:pPr>
        <w:spacing w:after="0" w:line="240" w:lineRule="auto"/>
        <w:jc w:val="both"/>
        <w:rPr>
          <w:rFonts w:ascii="Times New Roman" w:hAnsi="Times New Roman"/>
          <w:sz w:val="24"/>
          <w:szCs w:val="24"/>
        </w:rPr>
      </w:pPr>
      <w:r w:rsidRPr="003653DF">
        <w:rPr>
          <w:rFonts w:ascii="Times New Roman" w:hAnsi="Times New Roman"/>
          <w:sz w:val="24"/>
          <w:szCs w:val="24"/>
        </w:rPr>
        <w:t xml:space="preserve">Объект </w:t>
      </w:r>
      <w:r w:rsidR="00464351" w:rsidRPr="003653DF">
        <w:rPr>
          <w:rFonts w:ascii="Times New Roman" w:hAnsi="Times New Roman"/>
          <w:sz w:val="24"/>
          <w:szCs w:val="24"/>
        </w:rPr>
        <w:t>проверки</w:t>
      </w:r>
      <w:r w:rsidRPr="003653DF">
        <w:rPr>
          <w:rFonts w:ascii="Times New Roman" w:hAnsi="Times New Roman"/>
          <w:sz w:val="24"/>
          <w:szCs w:val="24"/>
        </w:rPr>
        <w:t>: Департамент финансово-ресурсного обеспечения Администрации Томской области.</w:t>
      </w:r>
    </w:p>
    <w:p w:rsidR="00F11221" w:rsidRPr="003653DF" w:rsidRDefault="00F11221"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Задача «Подготовка кадров для инновационного развития экономики региона» подпрограммы </w:t>
      </w:r>
      <w:r w:rsidRPr="003653DF">
        <w:rPr>
          <w:rFonts w:ascii="Times New Roman" w:hAnsi="Times New Roman"/>
          <w:bCs/>
          <w:sz w:val="24"/>
          <w:szCs w:val="24"/>
        </w:rPr>
        <w:t>«Развитие научно-образовательного комплекса и инновационного сектора экономики Томской области»</w:t>
      </w:r>
      <w:r w:rsidRPr="003653DF">
        <w:rPr>
          <w:rFonts w:ascii="Times New Roman" w:hAnsi="Times New Roman"/>
          <w:sz w:val="24"/>
          <w:szCs w:val="24"/>
        </w:rPr>
        <w:t xml:space="preserve"> </w:t>
      </w:r>
      <w:r w:rsidR="007C4FBD" w:rsidRPr="003653DF">
        <w:rPr>
          <w:rFonts w:ascii="Times New Roman" w:hAnsi="Times New Roman"/>
          <w:sz w:val="24"/>
          <w:szCs w:val="24"/>
        </w:rPr>
        <w:t xml:space="preserve">реализуется в том числе посредством ВЦП, которой </w:t>
      </w:r>
      <w:r w:rsidRPr="003653DF">
        <w:rPr>
          <w:rFonts w:ascii="Times New Roman" w:hAnsi="Times New Roman"/>
          <w:sz w:val="24"/>
          <w:szCs w:val="24"/>
        </w:rPr>
        <w:t>предусм</w:t>
      </w:r>
      <w:r w:rsidR="007C4FBD" w:rsidRPr="003653DF">
        <w:rPr>
          <w:rFonts w:ascii="Times New Roman" w:hAnsi="Times New Roman"/>
          <w:sz w:val="24"/>
          <w:szCs w:val="24"/>
        </w:rPr>
        <w:t xml:space="preserve">отрено </w:t>
      </w:r>
      <w:r w:rsidRPr="003653DF">
        <w:rPr>
          <w:rFonts w:ascii="Times New Roman" w:hAnsi="Times New Roman"/>
          <w:sz w:val="24"/>
          <w:szCs w:val="24"/>
        </w:rPr>
        <w:t>осуществление мероприятий по 6 направлениям ежегодно с объемом финансирования из областного бюджета на 2021 год в сумме 12 102,5 тыс.руб., на 2022 год - 12 204,6 тыс.руб.</w:t>
      </w:r>
    </w:p>
    <w:p w:rsidR="00A974F3" w:rsidRPr="003653DF" w:rsidRDefault="00F11221" w:rsidP="009D76C5">
      <w:pPr>
        <w:spacing w:after="0" w:line="240" w:lineRule="auto"/>
        <w:ind w:firstLine="567"/>
        <w:jc w:val="both"/>
        <w:rPr>
          <w:rFonts w:ascii="Times New Roman" w:hAnsi="Times New Roman"/>
          <w:sz w:val="24"/>
          <w:szCs w:val="24"/>
        </w:rPr>
      </w:pPr>
      <w:r w:rsidRPr="003653DF">
        <w:rPr>
          <w:rFonts w:ascii="Times New Roman" w:hAnsi="Times New Roman" w:cs="Times New Roman"/>
          <w:sz w:val="24"/>
          <w:szCs w:val="24"/>
        </w:rPr>
        <w:t>Основной целью ВЦП является содействие развитию инновационных составляющих в системах высшего обра</w:t>
      </w:r>
      <w:r w:rsidR="007C4FBD" w:rsidRPr="003653DF">
        <w:rPr>
          <w:rFonts w:ascii="Times New Roman" w:hAnsi="Times New Roman" w:cs="Times New Roman"/>
          <w:sz w:val="24"/>
          <w:szCs w:val="24"/>
        </w:rPr>
        <w:t>зования и науки в регионе.</w:t>
      </w:r>
    </w:p>
    <w:p w:rsidR="00A31AFB" w:rsidRPr="003653DF" w:rsidRDefault="00A31AFB"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 ходе мероприятия выявлены такие нарушения (недостатки)</w:t>
      </w:r>
      <w:r w:rsidR="003B372C">
        <w:rPr>
          <w:rFonts w:ascii="Times New Roman" w:hAnsi="Times New Roman"/>
          <w:sz w:val="24"/>
          <w:szCs w:val="24"/>
        </w:rPr>
        <w:t>,</w:t>
      </w:r>
      <w:r w:rsidRPr="003653DF">
        <w:rPr>
          <w:rFonts w:ascii="Times New Roman" w:hAnsi="Times New Roman"/>
          <w:sz w:val="24"/>
          <w:szCs w:val="24"/>
        </w:rPr>
        <w:t xml:space="preserve"> как: оплата услуг в сумме 0,2 млн.руб. по организации конкурсов по несоответствующей ЦСР (</w:t>
      </w:r>
      <w:r w:rsidRPr="003653DF">
        <w:rPr>
          <w:rFonts w:ascii="Times New Roman" w:hAnsi="Times New Roman"/>
          <w:i/>
          <w:iCs/>
          <w:sz w:val="24"/>
          <w:szCs w:val="24"/>
        </w:rPr>
        <w:t>квалифицировано как нецелевое использование бюджетных средств</w:t>
      </w:r>
      <w:r w:rsidRPr="003653DF">
        <w:rPr>
          <w:rFonts w:ascii="Times New Roman" w:hAnsi="Times New Roman"/>
          <w:sz w:val="24"/>
          <w:szCs w:val="24"/>
        </w:rPr>
        <w:t>); несогласованность содержания мероприятия по п.1 раздела 5 ВЦП с основной целью и показателем цели ВЦП, а также с показателями госпрограммы; нарушения в сфере закупок; положения госпрограммы не приведены в соответствие с параметрами СБР на 2022 год.</w:t>
      </w:r>
    </w:p>
    <w:p w:rsidR="00A31AFB" w:rsidRPr="003653DF" w:rsidRDefault="00A31AFB"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Кроме того, отмечено следующее: значения показателей реализации ВЦП неизменны на протяжении 8 лет (отсутствие положительной динамики в вопросах подготовки кадров для инновационного развития экономики региона), что не способствует достижению целей и задач Стратегии СЭР ТО в части реализации модели интенсивного развития на основе потенциала научно-образовательного комплекса; в 2021 г. из 8 показателей ВЦП значения показателей достигнуты по 5 направлениям; в 2022 г. из 6 показателей ВЦП достигнуты значения только 3 показателей по 3 направлениям; не достигнуто значение одного показателя по мероприятию «Количество изданных информационно-аналитических сборников»; реализация мероприятий по двум направлениям не осуществлялась.</w:t>
      </w:r>
    </w:p>
    <w:p w:rsidR="00A974F3" w:rsidRPr="003653DF" w:rsidRDefault="00D936A1"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По итогам мероприятия направлено представление.</w:t>
      </w:r>
    </w:p>
    <w:p w:rsidR="00A974F3" w:rsidRPr="003653DF" w:rsidRDefault="00A974F3" w:rsidP="009D76C5">
      <w:pPr>
        <w:spacing w:after="0" w:line="240" w:lineRule="auto"/>
        <w:jc w:val="both"/>
        <w:rPr>
          <w:rFonts w:ascii="Times New Roman" w:hAnsi="Times New Roman"/>
          <w:sz w:val="24"/>
          <w:szCs w:val="24"/>
        </w:rPr>
      </w:pPr>
    </w:p>
    <w:p w:rsidR="004267D5" w:rsidRPr="003653DF" w:rsidRDefault="004267D5" w:rsidP="009D76C5">
      <w:pPr>
        <w:spacing w:after="0" w:line="240" w:lineRule="auto"/>
        <w:jc w:val="both"/>
        <w:rPr>
          <w:rFonts w:ascii="Times New Roman" w:hAnsi="Times New Roman"/>
          <w:b/>
          <w:bCs/>
          <w:sz w:val="24"/>
          <w:szCs w:val="24"/>
        </w:rPr>
      </w:pPr>
      <w:r w:rsidRPr="003653DF">
        <w:rPr>
          <w:rFonts w:ascii="Times New Roman" w:hAnsi="Times New Roman"/>
          <w:b/>
          <w:bCs/>
          <w:sz w:val="24"/>
          <w:szCs w:val="24"/>
        </w:rPr>
        <w:t xml:space="preserve">Контрольное мероприятие «Проверка финансово-хозяйственной деятельности </w:t>
      </w:r>
    </w:p>
    <w:p w:rsidR="004267D5" w:rsidRPr="003653DF" w:rsidRDefault="004267D5" w:rsidP="009D76C5">
      <w:pPr>
        <w:spacing w:after="0" w:line="240" w:lineRule="auto"/>
        <w:jc w:val="both"/>
        <w:rPr>
          <w:rFonts w:ascii="Times New Roman" w:hAnsi="Times New Roman"/>
          <w:b/>
          <w:bCs/>
          <w:sz w:val="24"/>
          <w:szCs w:val="24"/>
        </w:rPr>
      </w:pPr>
      <w:r w:rsidRPr="003653DF">
        <w:rPr>
          <w:rFonts w:ascii="Times New Roman" w:hAnsi="Times New Roman"/>
          <w:b/>
          <w:bCs/>
          <w:sz w:val="24"/>
          <w:szCs w:val="24"/>
        </w:rPr>
        <w:t>ОГАУЗ «</w:t>
      </w:r>
      <w:proofErr w:type="spellStart"/>
      <w:r w:rsidRPr="003653DF">
        <w:rPr>
          <w:rFonts w:ascii="Times New Roman" w:hAnsi="Times New Roman"/>
          <w:b/>
          <w:bCs/>
          <w:sz w:val="24"/>
          <w:szCs w:val="24"/>
        </w:rPr>
        <w:t>Кожевниковская</w:t>
      </w:r>
      <w:proofErr w:type="spellEnd"/>
      <w:r w:rsidRPr="003653DF">
        <w:rPr>
          <w:rFonts w:ascii="Times New Roman" w:hAnsi="Times New Roman"/>
          <w:b/>
          <w:bCs/>
          <w:sz w:val="24"/>
          <w:szCs w:val="24"/>
        </w:rPr>
        <w:t xml:space="preserve"> районная больница» за 2022 год»</w:t>
      </w:r>
    </w:p>
    <w:p w:rsidR="004267D5" w:rsidRPr="003653DF" w:rsidRDefault="004267D5"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Учреждением на осуществление финансово-хозяйственной деятельности израсходованы средства в общей сумме 268,4 млн.руб. или 93,3% от общего объема полученных средств с учетом остатков средств на начало года (287,5 млн.руб.).</w:t>
      </w:r>
    </w:p>
    <w:p w:rsidR="004267D5" w:rsidRPr="003653DF" w:rsidRDefault="004267D5"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Основную долю в расходах составили выплаты персоналу в целях обеспечения выполнения функций… – 63,4%; закупка товаров, работ, услуг – 36,4%; уплата налогов, сборов, иных платежей – 0,2%.</w:t>
      </w:r>
    </w:p>
    <w:p w:rsidR="004267D5" w:rsidRPr="003653DF" w:rsidRDefault="004267D5"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В структуре кассовых расходов наибольшую долю составляют средства ОМС – 81% (217,4 млн.руб.), из которых направлено на приобретение основных средств (медицинское оборудование и прочие основные средства стоимостью, не превышающей 100 тыс.руб.) – 1,3 млн.руб. и материальных запасов – 43,8 млн.руб. В составе последних наибольшая доля (67%) приходится на приобретение лекарственных препаратов и медицинских материалов. </w:t>
      </w:r>
    </w:p>
    <w:p w:rsidR="00D36209" w:rsidRPr="003653DF" w:rsidRDefault="004267D5"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 ходе мероприятия выявлены такие нарушения (недостатки)</w:t>
      </w:r>
      <w:r w:rsidR="003B372C">
        <w:rPr>
          <w:rFonts w:ascii="Times New Roman" w:hAnsi="Times New Roman"/>
          <w:sz w:val="24"/>
          <w:szCs w:val="24"/>
        </w:rPr>
        <w:t>,</w:t>
      </w:r>
      <w:r w:rsidRPr="003653DF">
        <w:rPr>
          <w:rFonts w:ascii="Times New Roman" w:hAnsi="Times New Roman"/>
          <w:sz w:val="24"/>
          <w:szCs w:val="24"/>
        </w:rPr>
        <w:t xml:space="preserve"> как: нарушения учета и отчетности; некачественная подготовка штатного расписания; превышение нормативов численности прикрепленного населения на 1 терапевта; неправомерная выплата заместителю главного врача в сумме 0,2 млн.руб. </w:t>
      </w:r>
      <w:r w:rsidRPr="003653DF">
        <w:rPr>
          <w:rFonts w:ascii="Times New Roman" w:hAnsi="Times New Roman"/>
          <w:i/>
          <w:sz w:val="24"/>
          <w:szCs w:val="24"/>
        </w:rPr>
        <w:t xml:space="preserve">(квалифицировано как </w:t>
      </w:r>
      <w:r w:rsidRPr="003653DF">
        <w:rPr>
          <w:rFonts w:ascii="Times New Roman" w:hAnsi="Times New Roman"/>
          <w:i/>
          <w:iCs/>
          <w:sz w:val="24"/>
          <w:szCs w:val="24"/>
        </w:rPr>
        <w:t>нецелевое использование бюджетных средств).</w:t>
      </w:r>
      <w:r w:rsidR="00D36209" w:rsidRPr="003653DF">
        <w:rPr>
          <w:rFonts w:ascii="Times New Roman" w:hAnsi="Times New Roman"/>
          <w:sz w:val="24"/>
          <w:szCs w:val="24"/>
        </w:rPr>
        <w:t xml:space="preserve"> Расходы Учреждения, направленные на оплату пени и штрафов, квалифицированы как </w:t>
      </w:r>
      <w:r w:rsidR="00D36209" w:rsidRPr="003653DF">
        <w:rPr>
          <w:rFonts w:ascii="Times New Roman" w:hAnsi="Times New Roman"/>
          <w:bCs/>
          <w:iCs/>
          <w:sz w:val="24"/>
          <w:szCs w:val="24"/>
        </w:rPr>
        <w:t>неэффективное использование бюджетных средств в сумме 0,3 млн.руб.</w:t>
      </w:r>
    </w:p>
    <w:p w:rsidR="004267D5" w:rsidRPr="003653DF" w:rsidRDefault="004267D5"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Кроме того, мероприятие показало следующее: укомплектованность врачебных должностей в Учреждении ниже плановых показателей регионального проекта и фактических значений показателей по ОГУЗ ТО; достигнуты плановые значения целевых показателей Плана мероприятий («дорожной карты») по средней </w:t>
      </w:r>
      <w:proofErr w:type="spellStart"/>
      <w:r w:rsidRPr="003653DF">
        <w:rPr>
          <w:rFonts w:ascii="Times New Roman" w:hAnsi="Times New Roman"/>
          <w:sz w:val="24"/>
          <w:szCs w:val="24"/>
        </w:rPr>
        <w:t>зар.плате</w:t>
      </w:r>
      <w:proofErr w:type="spellEnd"/>
      <w:r w:rsidRPr="003653DF">
        <w:rPr>
          <w:rFonts w:ascii="Times New Roman" w:hAnsi="Times New Roman"/>
          <w:sz w:val="24"/>
          <w:szCs w:val="24"/>
        </w:rPr>
        <w:t xml:space="preserve"> врачей и работников </w:t>
      </w:r>
      <w:proofErr w:type="spellStart"/>
      <w:r w:rsidRPr="003653DF">
        <w:rPr>
          <w:rFonts w:ascii="Times New Roman" w:hAnsi="Times New Roman"/>
          <w:sz w:val="24"/>
          <w:szCs w:val="24"/>
        </w:rPr>
        <w:t>мед.организаций</w:t>
      </w:r>
      <w:proofErr w:type="spellEnd"/>
      <w:r w:rsidRPr="003653DF">
        <w:rPr>
          <w:rFonts w:ascii="Times New Roman" w:hAnsi="Times New Roman"/>
          <w:sz w:val="24"/>
          <w:szCs w:val="24"/>
        </w:rPr>
        <w:t xml:space="preserve">; недостаточная обеспеченность ФАП и ОВП мед.оборудованием; необеспечение доступности мед.помощи по ряду профилей; коэффициент совместительства по врачам и среднему </w:t>
      </w:r>
      <w:proofErr w:type="spellStart"/>
      <w:r w:rsidRPr="003653DF">
        <w:rPr>
          <w:rFonts w:ascii="Times New Roman" w:hAnsi="Times New Roman"/>
          <w:sz w:val="24"/>
          <w:szCs w:val="24"/>
        </w:rPr>
        <w:t>мед.персоналу</w:t>
      </w:r>
      <w:proofErr w:type="spellEnd"/>
      <w:r w:rsidRPr="003653DF">
        <w:rPr>
          <w:rFonts w:ascii="Times New Roman" w:hAnsi="Times New Roman"/>
          <w:sz w:val="24"/>
          <w:szCs w:val="24"/>
        </w:rPr>
        <w:t xml:space="preserve"> выше среднего значения по ОГУЗ ТО; не выполнено </w:t>
      </w:r>
      <w:proofErr w:type="spellStart"/>
      <w:r w:rsidRPr="003653DF">
        <w:rPr>
          <w:rFonts w:ascii="Times New Roman" w:hAnsi="Times New Roman"/>
          <w:sz w:val="24"/>
          <w:szCs w:val="24"/>
        </w:rPr>
        <w:t>гос.задание</w:t>
      </w:r>
      <w:proofErr w:type="spellEnd"/>
      <w:r w:rsidRPr="003653DF">
        <w:rPr>
          <w:rFonts w:ascii="Times New Roman" w:hAnsi="Times New Roman"/>
          <w:sz w:val="24"/>
          <w:szCs w:val="24"/>
        </w:rPr>
        <w:t xml:space="preserve"> по </w:t>
      </w:r>
      <w:proofErr w:type="spellStart"/>
      <w:r w:rsidRPr="003653DF">
        <w:rPr>
          <w:rFonts w:ascii="Times New Roman" w:hAnsi="Times New Roman"/>
          <w:sz w:val="24"/>
          <w:szCs w:val="24"/>
        </w:rPr>
        <w:t>спец.мед.помощи</w:t>
      </w:r>
      <w:proofErr w:type="spellEnd"/>
      <w:r w:rsidRPr="003653DF">
        <w:rPr>
          <w:rFonts w:ascii="Times New Roman" w:hAnsi="Times New Roman"/>
          <w:sz w:val="24"/>
          <w:szCs w:val="24"/>
        </w:rPr>
        <w:t xml:space="preserve"> (за исключением высокотехнологичной мед.помощи), включенной в базовую программу ОМС.</w:t>
      </w:r>
    </w:p>
    <w:p w:rsidR="00D36209" w:rsidRPr="003653DF" w:rsidRDefault="00D36209"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ab/>
        <w:t xml:space="preserve">По итогам мероприятия направлено представление, Департаменту здравоохранения рекомендовано провести проверку обоснованности предоставления средств учреждениям на </w:t>
      </w:r>
      <w:proofErr w:type="spellStart"/>
      <w:r w:rsidRPr="003653DF">
        <w:rPr>
          <w:rFonts w:ascii="Times New Roman" w:hAnsi="Times New Roman"/>
          <w:sz w:val="24"/>
          <w:szCs w:val="24"/>
        </w:rPr>
        <w:t>спец.мед.помощь</w:t>
      </w:r>
      <w:proofErr w:type="spellEnd"/>
      <w:r w:rsidRPr="003653DF">
        <w:rPr>
          <w:rFonts w:ascii="Times New Roman" w:hAnsi="Times New Roman"/>
          <w:sz w:val="24"/>
          <w:szCs w:val="24"/>
        </w:rPr>
        <w:t xml:space="preserve"> по программе ОМС, гражданам, незастрахованным по ОМС (</w:t>
      </w:r>
      <w:r w:rsidRPr="003653DF">
        <w:rPr>
          <w:rFonts w:ascii="Times New Roman" w:hAnsi="Times New Roman"/>
          <w:i/>
          <w:sz w:val="24"/>
          <w:szCs w:val="24"/>
        </w:rPr>
        <w:t>выполнено: на 2024 год плановый объем средств уменьшен на 42,2 млн.руб. от первоначального объема</w:t>
      </w:r>
      <w:r w:rsidRPr="003653DF">
        <w:rPr>
          <w:rFonts w:ascii="Times New Roman" w:hAnsi="Times New Roman"/>
          <w:sz w:val="24"/>
          <w:szCs w:val="24"/>
        </w:rPr>
        <w:t>); обеспечить соблюдение Стандарта оснащения мед. оборудованием ФАП и ОВП; провести разъяснительную работу с ОГУЗ по осуществлению расходов на оказание первичной медико-санитарной помощи детям за счет средств ОМС.</w:t>
      </w:r>
    </w:p>
    <w:p w:rsidR="00A218B2" w:rsidRPr="003653DF" w:rsidRDefault="00A218B2" w:rsidP="009D76C5">
      <w:pPr>
        <w:spacing w:after="0" w:line="240" w:lineRule="auto"/>
        <w:jc w:val="both"/>
        <w:rPr>
          <w:rFonts w:ascii="Times New Roman" w:hAnsi="Times New Roman"/>
          <w:sz w:val="24"/>
          <w:szCs w:val="24"/>
        </w:rPr>
      </w:pPr>
    </w:p>
    <w:p w:rsidR="00A218B2" w:rsidRPr="003653DF" w:rsidRDefault="00A218B2" w:rsidP="009D76C5">
      <w:pPr>
        <w:spacing w:after="0" w:line="240" w:lineRule="auto"/>
        <w:jc w:val="both"/>
        <w:rPr>
          <w:rFonts w:ascii="Times New Roman" w:hAnsi="Times New Roman"/>
          <w:b/>
          <w:bCs/>
          <w:sz w:val="24"/>
          <w:szCs w:val="24"/>
        </w:rPr>
      </w:pPr>
      <w:r w:rsidRPr="003653DF">
        <w:rPr>
          <w:rFonts w:ascii="Times New Roman" w:hAnsi="Times New Roman"/>
          <w:b/>
          <w:bCs/>
          <w:sz w:val="24"/>
          <w:szCs w:val="24"/>
        </w:rPr>
        <w:t>Контрольное мероприятие «Проверка расходования бюджетных средств, предоставленных на выполнение мероприятий регионального проекта «Цифровая образовательная среда» в рамках Государственной программы «Развитие образования в Томской области» в 2022 году»</w:t>
      </w:r>
    </w:p>
    <w:p w:rsidR="00A218B2" w:rsidRPr="003653DF" w:rsidRDefault="00A218B2"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Объекты </w:t>
      </w:r>
      <w:r w:rsidR="00464351" w:rsidRPr="003653DF">
        <w:rPr>
          <w:rFonts w:ascii="Times New Roman" w:hAnsi="Times New Roman"/>
          <w:sz w:val="24"/>
          <w:szCs w:val="24"/>
        </w:rPr>
        <w:t>проверки</w:t>
      </w:r>
      <w:r w:rsidRPr="003653DF">
        <w:rPr>
          <w:rFonts w:ascii="Times New Roman" w:hAnsi="Times New Roman"/>
          <w:sz w:val="24"/>
          <w:szCs w:val="24"/>
        </w:rPr>
        <w:t>:</w:t>
      </w:r>
    </w:p>
    <w:p w:rsidR="00A218B2" w:rsidRPr="003653DF" w:rsidRDefault="00A218B2" w:rsidP="009D76C5">
      <w:pPr>
        <w:spacing w:after="0" w:line="240" w:lineRule="auto"/>
        <w:jc w:val="both"/>
        <w:rPr>
          <w:rFonts w:ascii="Times New Roman" w:hAnsi="Times New Roman"/>
          <w:sz w:val="24"/>
          <w:szCs w:val="24"/>
        </w:rPr>
      </w:pPr>
      <w:r w:rsidRPr="003653DF">
        <w:rPr>
          <w:rFonts w:ascii="Times New Roman" w:hAnsi="Times New Roman"/>
          <w:sz w:val="24"/>
          <w:szCs w:val="24"/>
        </w:rPr>
        <w:t>- Департамент общего образования Томской области,</w:t>
      </w:r>
    </w:p>
    <w:p w:rsidR="00A218B2" w:rsidRPr="003653DF" w:rsidRDefault="00A218B2" w:rsidP="009D76C5">
      <w:pPr>
        <w:spacing w:after="0" w:line="240" w:lineRule="auto"/>
        <w:jc w:val="both"/>
        <w:rPr>
          <w:rFonts w:ascii="Times New Roman" w:hAnsi="Times New Roman"/>
          <w:sz w:val="24"/>
          <w:szCs w:val="24"/>
        </w:rPr>
      </w:pPr>
      <w:r w:rsidRPr="003653DF">
        <w:rPr>
          <w:rFonts w:ascii="Times New Roman" w:hAnsi="Times New Roman"/>
          <w:sz w:val="24"/>
          <w:szCs w:val="24"/>
        </w:rPr>
        <w:t>- Департамент профессионального образования Томской области,</w:t>
      </w:r>
    </w:p>
    <w:p w:rsidR="00A218B2" w:rsidRPr="003653DF" w:rsidRDefault="00A218B2" w:rsidP="009D76C5">
      <w:pPr>
        <w:spacing w:after="0" w:line="240" w:lineRule="auto"/>
        <w:jc w:val="both"/>
        <w:rPr>
          <w:rFonts w:ascii="Times New Roman" w:hAnsi="Times New Roman"/>
          <w:sz w:val="24"/>
          <w:szCs w:val="24"/>
        </w:rPr>
      </w:pPr>
      <w:r w:rsidRPr="003653DF">
        <w:rPr>
          <w:rFonts w:ascii="Times New Roman" w:hAnsi="Times New Roman"/>
          <w:sz w:val="24"/>
          <w:szCs w:val="24"/>
        </w:rPr>
        <w:t>- 3 областных государственных бюджетных профессиональных образовательных учреждения 11 органов местного самоуправления.</w:t>
      </w:r>
    </w:p>
    <w:p w:rsidR="00A218B2" w:rsidRPr="003653DF" w:rsidRDefault="00A218B2"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Региональный проект направлен на оснащение и обновление материально-технической базы общеобразовательных и профессиональных образовательных организаций современным оборудованием, развитие цифровых сервисов и контента для образовательной деятельности, повышение квалификации педагогов и руководящих работников по вопросам внедрения в образовательный процесс цифровых технологий, создание центров цифрового образования детей в целях достижения показателей и результатов соответствующего федерального  проекта Национального проекта «Образование».</w:t>
      </w:r>
    </w:p>
    <w:p w:rsidR="00B97C63" w:rsidRPr="003653DF" w:rsidRDefault="00B97C6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Региональным проектом в 2022 году предусмотрено выполнение 4-х мероприятий, на которые были направлены средства в сумме 127,3 млн.руб., в том числе:</w:t>
      </w:r>
    </w:p>
    <w:p w:rsidR="00B97C63" w:rsidRPr="003653DF" w:rsidRDefault="00B97C63" w:rsidP="009D76C5">
      <w:pPr>
        <w:spacing w:after="0" w:line="240" w:lineRule="auto"/>
        <w:jc w:val="both"/>
        <w:rPr>
          <w:rFonts w:ascii="Times New Roman" w:hAnsi="Times New Roman"/>
          <w:sz w:val="24"/>
          <w:szCs w:val="24"/>
        </w:rPr>
      </w:pPr>
      <w:r w:rsidRPr="003653DF">
        <w:rPr>
          <w:rFonts w:ascii="Times New Roman" w:hAnsi="Times New Roman"/>
          <w:sz w:val="24"/>
          <w:szCs w:val="24"/>
        </w:rPr>
        <w:t>- средства федерального бюджета – 90,8 млн.руб.</w:t>
      </w:r>
    </w:p>
    <w:p w:rsidR="00B97C63" w:rsidRPr="003653DF" w:rsidRDefault="00B97C63" w:rsidP="009D76C5">
      <w:pPr>
        <w:spacing w:after="0" w:line="240" w:lineRule="auto"/>
        <w:jc w:val="both"/>
        <w:rPr>
          <w:rFonts w:ascii="Times New Roman" w:hAnsi="Times New Roman"/>
          <w:sz w:val="24"/>
          <w:szCs w:val="24"/>
        </w:rPr>
      </w:pPr>
      <w:r w:rsidRPr="003653DF">
        <w:rPr>
          <w:rFonts w:ascii="Times New Roman" w:hAnsi="Times New Roman"/>
          <w:sz w:val="24"/>
          <w:szCs w:val="24"/>
        </w:rPr>
        <w:t xml:space="preserve">- средства областного бюджета – 36,5 млн.руб. </w:t>
      </w:r>
    </w:p>
    <w:p w:rsidR="00B97C63" w:rsidRPr="003653DF" w:rsidRDefault="00B97C6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 целом результаты мероприятия показали эффективность расходования средств федерального и областного бюджетов, направленных на выполнение регионального проекта, по которому достигнуты запланированные показатели результатов: обеспечено внедрение и функционирование целевой модели ЦОС в 228 общеобразовательных организациях, из них в 221 муниципальной и 7 областных общеобразовательных организациях, 25 областных профессиональных образовательных организациях; обеспечены материально-технической базой для внедрения ЦОС 253 образовательных организации, из них 25 областных профессиональных образовательных организации, что соответствует плановому значению результата использования субсидии, предоставленной из федерального бюджета (по соглашению между Министерством просвещения РФ и Администрацией Томской области), в том числе в 2022 году обеспечены 7 областных профессиональных образовательных организаций и 53 общеобразовательные организации, из них 51 муниципальная (в том числе 11 малокомплектных), 2 областные общеобразовательные организации.</w:t>
      </w:r>
    </w:p>
    <w:p w:rsidR="00A218B2" w:rsidRPr="003653DF" w:rsidRDefault="00B97C6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 ходе мероприятия выявлены такие нарушения (недостатки)</w:t>
      </w:r>
      <w:r w:rsidR="003B372C">
        <w:rPr>
          <w:rFonts w:ascii="Times New Roman" w:hAnsi="Times New Roman"/>
          <w:sz w:val="24"/>
          <w:szCs w:val="24"/>
        </w:rPr>
        <w:t>,</w:t>
      </w:r>
      <w:r w:rsidRPr="003653DF">
        <w:rPr>
          <w:rFonts w:ascii="Times New Roman" w:hAnsi="Times New Roman"/>
          <w:sz w:val="24"/>
          <w:szCs w:val="24"/>
        </w:rPr>
        <w:t xml:space="preserve"> как: нарушения учета и отчетности; неправомерное возмещение командировочных расходов; осуществление расходов на приобретение оборудования не для ЦОС в сумме 0,06 млн.руб. </w:t>
      </w:r>
      <w:r w:rsidRPr="003653DF">
        <w:rPr>
          <w:rFonts w:ascii="Times New Roman" w:hAnsi="Times New Roman"/>
          <w:i/>
          <w:sz w:val="24"/>
          <w:szCs w:val="24"/>
        </w:rPr>
        <w:t xml:space="preserve">(квалифицирована как </w:t>
      </w:r>
      <w:r w:rsidRPr="003653DF">
        <w:rPr>
          <w:rFonts w:ascii="Times New Roman" w:hAnsi="Times New Roman"/>
          <w:i/>
          <w:iCs/>
          <w:sz w:val="24"/>
          <w:szCs w:val="24"/>
        </w:rPr>
        <w:t xml:space="preserve">нецелевое использование бюджетных средств). </w:t>
      </w:r>
      <w:r w:rsidRPr="003653DF">
        <w:rPr>
          <w:rFonts w:ascii="Times New Roman" w:hAnsi="Times New Roman"/>
          <w:sz w:val="24"/>
          <w:szCs w:val="24"/>
        </w:rPr>
        <w:t xml:space="preserve">Неиспользование приобретенного ПО квалифицировано как </w:t>
      </w:r>
      <w:r w:rsidRPr="003653DF">
        <w:rPr>
          <w:rFonts w:ascii="Times New Roman" w:hAnsi="Times New Roman"/>
          <w:bCs/>
          <w:iCs/>
          <w:sz w:val="24"/>
          <w:szCs w:val="24"/>
        </w:rPr>
        <w:t>неэффективное использование бюджетных средств в сумме 8,5 тыс.руб.</w:t>
      </w:r>
    </w:p>
    <w:p w:rsidR="008B5557" w:rsidRPr="003653DF" w:rsidRDefault="008B5557"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По итогам мероприятия направлены 5 представлений и 12 информационных писем, к дисциплинарной ответственности привлечены 3 должностных лица.</w:t>
      </w:r>
    </w:p>
    <w:p w:rsidR="00A218B2" w:rsidRPr="003653DF" w:rsidRDefault="00A218B2" w:rsidP="009D76C5">
      <w:pPr>
        <w:spacing w:after="0" w:line="240" w:lineRule="auto"/>
        <w:ind w:left="284"/>
        <w:jc w:val="both"/>
        <w:rPr>
          <w:rFonts w:ascii="Times New Roman" w:hAnsi="Times New Roman"/>
          <w:sz w:val="24"/>
          <w:szCs w:val="24"/>
        </w:rPr>
      </w:pPr>
    </w:p>
    <w:p w:rsidR="0059676C" w:rsidRPr="003653DF" w:rsidRDefault="0059676C" w:rsidP="009D76C5">
      <w:pPr>
        <w:spacing w:after="0" w:line="240" w:lineRule="auto"/>
        <w:jc w:val="both"/>
        <w:rPr>
          <w:rFonts w:ascii="Times New Roman" w:hAnsi="Times New Roman"/>
          <w:b/>
          <w:bCs/>
          <w:sz w:val="24"/>
          <w:szCs w:val="24"/>
        </w:rPr>
      </w:pPr>
      <w:r w:rsidRPr="003653DF">
        <w:rPr>
          <w:rFonts w:ascii="Times New Roman" w:hAnsi="Times New Roman"/>
          <w:b/>
          <w:bCs/>
          <w:sz w:val="24"/>
          <w:szCs w:val="24"/>
        </w:rPr>
        <w:t>Контрольное мероприятие «Проверка расходования средств областного бюджета, предоставленных в 2022 году на выполнение мероприятий подпрограммы «Доступная среда» в рамках государственной программы «Социальная поддержка населения Томской области»</w:t>
      </w:r>
    </w:p>
    <w:p w:rsidR="00464351" w:rsidRPr="003653DF" w:rsidRDefault="00464351" w:rsidP="009D76C5">
      <w:pPr>
        <w:spacing w:after="0" w:line="240" w:lineRule="auto"/>
        <w:ind w:firstLine="567"/>
        <w:jc w:val="both"/>
        <w:rPr>
          <w:rFonts w:ascii="Times New Roman" w:hAnsi="Times New Roman"/>
          <w:sz w:val="24"/>
          <w:szCs w:val="24"/>
        </w:rPr>
      </w:pPr>
      <w:r w:rsidRPr="003653DF">
        <w:rPr>
          <w:rFonts w:ascii="Times New Roman" w:hAnsi="Times New Roman"/>
          <w:bCs/>
          <w:sz w:val="24"/>
          <w:szCs w:val="24"/>
        </w:rPr>
        <w:t>Объекты проверки:</w:t>
      </w:r>
    </w:p>
    <w:p w:rsidR="00464351" w:rsidRPr="003653DF" w:rsidRDefault="00464351" w:rsidP="009D76C5">
      <w:pPr>
        <w:spacing w:after="0" w:line="240" w:lineRule="auto"/>
        <w:jc w:val="both"/>
        <w:rPr>
          <w:rFonts w:ascii="Times New Roman" w:hAnsi="Times New Roman"/>
          <w:sz w:val="24"/>
          <w:szCs w:val="24"/>
        </w:rPr>
      </w:pPr>
      <w:r w:rsidRPr="003653DF">
        <w:rPr>
          <w:rFonts w:ascii="Times New Roman" w:hAnsi="Times New Roman"/>
          <w:sz w:val="24"/>
          <w:szCs w:val="24"/>
        </w:rPr>
        <w:t>- 5 Департаментов,</w:t>
      </w:r>
    </w:p>
    <w:p w:rsidR="00464351" w:rsidRPr="003653DF" w:rsidRDefault="00464351" w:rsidP="009D76C5">
      <w:pPr>
        <w:spacing w:after="0" w:line="240" w:lineRule="auto"/>
        <w:jc w:val="both"/>
        <w:rPr>
          <w:rFonts w:ascii="Times New Roman" w:hAnsi="Times New Roman"/>
          <w:sz w:val="24"/>
          <w:szCs w:val="24"/>
        </w:rPr>
      </w:pPr>
      <w:r w:rsidRPr="003653DF">
        <w:rPr>
          <w:rFonts w:ascii="Times New Roman" w:hAnsi="Times New Roman"/>
          <w:sz w:val="24"/>
          <w:szCs w:val="24"/>
        </w:rPr>
        <w:t>- 6 областных государственных учреждений социальной сферы.</w:t>
      </w:r>
    </w:p>
    <w:p w:rsidR="002F2FA4" w:rsidRPr="003653DF" w:rsidRDefault="002F2FA4" w:rsidP="009D76C5">
      <w:pPr>
        <w:spacing w:after="0" w:line="240" w:lineRule="auto"/>
        <w:ind w:firstLine="708"/>
        <w:jc w:val="both"/>
        <w:rPr>
          <w:rFonts w:ascii="Times New Roman" w:hAnsi="Times New Roman"/>
          <w:sz w:val="24"/>
          <w:szCs w:val="24"/>
        </w:rPr>
      </w:pPr>
      <w:r w:rsidRPr="003653DF">
        <w:rPr>
          <w:rFonts w:ascii="Times New Roman" w:hAnsi="Times New Roman"/>
          <w:sz w:val="24"/>
          <w:szCs w:val="24"/>
        </w:rPr>
        <w:t>Цель подпрограммы «Доступная среда» - создание условий, способствующих интеграции инвалидов в общество и повышению качества их жизни</w:t>
      </w:r>
    </w:p>
    <w:p w:rsidR="00A218B2" w:rsidRPr="003653DF" w:rsidRDefault="002F2FA4" w:rsidP="009D76C5">
      <w:pPr>
        <w:spacing w:after="0" w:line="240" w:lineRule="auto"/>
        <w:jc w:val="both"/>
        <w:rPr>
          <w:rFonts w:ascii="Times New Roman" w:hAnsi="Times New Roman"/>
          <w:sz w:val="24"/>
          <w:szCs w:val="24"/>
        </w:rPr>
      </w:pPr>
      <w:r w:rsidRPr="003653DF">
        <w:rPr>
          <w:rFonts w:ascii="Times New Roman" w:hAnsi="Times New Roman"/>
          <w:sz w:val="24"/>
          <w:szCs w:val="24"/>
        </w:rPr>
        <w:tab/>
        <w:t>В 2022 году на выполнение мероприятий подпрограммы направлены средства в сумме 35,9 млн.руб. (95,7% от утвержденного объема).</w:t>
      </w:r>
    </w:p>
    <w:p w:rsidR="00793719" w:rsidRPr="003653DF" w:rsidRDefault="00793719"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Результат реализации мероприятий: вовлечено в мероприятия в сфере культуры инвалидов с их сверстниками, без инвалидности, 134% к плану; адаптировано для инвалидов и МГН 13 из 16 учреждений; обеспечено проведение для инвалидов физкультурных мероприятий 100% к плану; проведен Региональный чемпионат по профессиональному мастерству среди инвалидов;  психолого-педагогические услуги оказаны всем детям-инвалидам</w:t>
      </w:r>
      <w:r w:rsidR="00842DDC" w:rsidRPr="003653DF">
        <w:rPr>
          <w:rFonts w:ascii="Times New Roman" w:hAnsi="Times New Roman"/>
          <w:sz w:val="24"/>
          <w:szCs w:val="24"/>
        </w:rPr>
        <w:t xml:space="preserve">; </w:t>
      </w:r>
      <w:r w:rsidRPr="003653DF">
        <w:rPr>
          <w:rFonts w:ascii="Times New Roman" w:hAnsi="Times New Roman"/>
          <w:sz w:val="24"/>
          <w:szCs w:val="24"/>
        </w:rPr>
        <w:t>оказан</w:t>
      </w:r>
      <w:r w:rsidR="00842DDC" w:rsidRPr="003653DF">
        <w:rPr>
          <w:rFonts w:ascii="Times New Roman" w:hAnsi="Times New Roman"/>
          <w:sz w:val="24"/>
          <w:szCs w:val="24"/>
        </w:rPr>
        <w:t>о</w:t>
      </w:r>
      <w:r w:rsidRPr="003653DF">
        <w:rPr>
          <w:rFonts w:ascii="Times New Roman" w:hAnsi="Times New Roman"/>
          <w:sz w:val="24"/>
          <w:szCs w:val="24"/>
        </w:rPr>
        <w:t xml:space="preserve"> услуг по сурдопереводу глухим и слабослышащим 100% к плану</w:t>
      </w:r>
      <w:r w:rsidR="00842DDC" w:rsidRPr="003653DF">
        <w:rPr>
          <w:rFonts w:ascii="Times New Roman" w:hAnsi="Times New Roman"/>
          <w:sz w:val="24"/>
          <w:szCs w:val="24"/>
        </w:rPr>
        <w:t xml:space="preserve">; </w:t>
      </w:r>
      <w:r w:rsidRPr="003653DF">
        <w:rPr>
          <w:rFonts w:ascii="Times New Roman" w:hAnsi="Times New Roman"/>
          <w:sz w:val="24"/>
          <w:szCs w:val="24"/>
        </w:rPr>
        <w:t>оказана материальная помощь родителям (законным представителям) детей-инвалидов 133,4% к плану</w:t>
      </w:r>
      <w:r w:rsidR="00842DDC" w:rsidRPr="003653DF">
        <w:rPr>
          <w:rFonts w:ascii="Times New Roman" w:hAnsi="Times New Roman"/>
          <w:sz w:val="24"/>
          <w:szCs w:val="24"/>
        </w:rPr>
        <w:t xml:space="preserve">; </w:t>
      </w:r>
      <w:r w:rsidRPr="003653DF">
        <w:rPr>
          <w:rFonts w:ascii="Times New Roman" w:hAnsi="Times New Roman"/>
          <w:sz w:val="24"/>
          <w:szCs w:val="24"/>
        </w:rPr>
        <w:t xml:space="preserve">организована работа служб «Домашнее визитирование», «Мэри </w:t>
      </w:r>
      <w:proofErr w:type="spellStart"/>
      <w:r w:rsidRPr="003653DF">
        <w:rPr>
          <w:rFonts w:ascii="Times New Roman" w:hAnsi="Times New Roman"/>
          <w:sz w:val="24"/>
          <w:szCs w:val="24"/>
        </w:rPr>
        <w:t>Поппинс</w:t>
      </w:r>
      <w:proofErr w:type="spellEnd"/>
      <w:r w:rsidRPr="003653DF">
        <w:rPr>
          <w:rFonts w:ascii="Times New Roman" w:hAnsi="Times New Roman"/>
          <w:sz w:val="24"/>
          <w:szCs w:val="24"/>
        </w:rPr>
        <w:t>», «Раннее вмешательство»</w:t>
      </w:r>
      <w:r w:rsidR="00842DDC" w:rsidRPr="003653DF">
        <w:rPr>
          <w:rFonts w:ascii="Times New Roman" w:hAnsi="Times New Roman"/>
          <w:sz w:val="24"/>
          <w:szCs w:val="24"/>
        </w:rPr>
        <w:t xml:space="preserve">; </w:t>
      </w:r>
      <w:r w:rsidRPr="003653DF">
        <w:rPr>
          <w:rFonts w:ascii="Times New Roman" w:hAnsi="Times New Roman"/>
          <w:sz w:val="24"/>
          <w:szCs w:val="24"/>
        </w:rPr>
        <w:t>доля инвалидов, положительно оценивающих отношение населения к проблемам инвалидов, составила 71% (план 71%)</w:t>
      </w:r>
      <w:r w:rsidR="00842DDC" w:rsidRPr="003653DF">
        <w:rPr>
          <w:rFonts w:ascii="Times New Roman" w:hAnsi="Times New Roman"/>
          <w:sz w:val="24"/>
          <w:szCs w:val="24"/>
        </w:rPr>
        <w:t>.</w:t>
      </w:r>
    </w:p>
    <w:p w:rsidR="00842DDC" w:rsidRPr="003653DF" w:rsidRDefault="00842DDC"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 ходе мероприятия выявлены такие нарушения (недостатки)</w:t>
      </w:r>
      <w:r w:rsidR="003B372C">
        <w:rPr>
          <w:rFonts w:ascii="Times New Roman" w:hAnsi="Times New Roman"/>
          <w:sz w:val="24"/>
          <w:szCs w:val="24"/>
        </w:rPr>
        <w:t>,</w:t>
      </w:r>
      <w:r w:rsidRPr="003653DF">
        <w:rPr>
          <w:rFonts w:ascii="Times New Roman" w:hAnsi="Times New Roman"/>
          <w:sz w:val="24"/>
          <w:szCs w:val="24"/>
        </w:rPr>
        <w:t xml:space="preserve"> как: некачественная подготовка соглашений о предоставлении субсидий, госконтрактов на оказание мед.услуг; приятие неправомерных решений о назначении материальной помощи; несоблюдение требований по обеспечению доступности зданий для МГН; оплата мед.услуг, которые должны предоставляться в рамках областной Программы гос.гарантий. Неиспользование оборудования, не обеспечение доступности зданий для инвалидов квалифицированы как неэффективное использование бюджетных средств в сумме 0,5 млн.руб.</w:t>
      </w:r>
    </w:p>
    <w:p w:rsidR="00842DDC" w:rsidRPr="003653DF" w:rsidRDefault="00842DDC"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По итогам мероприятия направлены 2 представления и 2 информационных </w:t>
      </w:r>
      <w:r w:rsidR="001B7346" w:rsidRPr="003653DF">
        <w:rPr>
          <w:rFonts w:ascii="Times New Roman" w:hAnsi="Times New Roman"/>
          <w:sz w:val="24"/>
          <w:szCs w:val="24"/>
        </w:rPr>
        <w:t>письма, уволено</w:t>
      </w:r>
      <w:r w:rsidRPr="003653DF">
        <w:rPr>
          <w:rFonts w:ascii="Times New Roman" w:hAnsi="Times New Roman"/>
          <w:sz w:val="24"/>
          <w:szCs w:val="24"/>
        </w:rPr>
        <w:t xml:space="preserve"> должностное лицо, в областной бюджет возвращено 42 тыс.руб., утверждён Порядок организации предоставления услуг психолого-педагогического сопровождения детям-инвалидам, внесено изменение в распоряжение Департамента здравоохранения ТО, установлен тактильный стенд и индукционная система. Финансирование мед.услуг детям-инвалидам рекомендовано осуществлять в рамках областной Программы гос.гарантий бесплатного оказания гражданам мед.помощи на территории Томской области.</w:t>
      </w:r>
    </w:p>
    <w:p w:rsidR="00A218B2" w:rsidRPr="003653DF" w:rsidRDefault="00A218B2" w:rsidP="009D76C5">
      <w:pPr>
        <w:spacing w:after="0" w:line="240" w:lineRule="auto"/>
        <w:jc w:val="both"/>
        <w:rPr>
          <w:rFonts w:ascii="Times New Roman" w:hAnsi="Times New Roman"/>
          <w:sz w:val="24"/>
          <w:szCs w:val="24"/>
        </w:rPr>
      </w:pPr>
    </w:p>
    <w:p w:rsidR="00B41A8A" w:rsidRPr="003653DF" w:rsidRDefault="00B41A8A" w:rsidP="009D76C5">
      <w:pPr>
        <w:spacing w:after="0" w:line="240" w:lineRule="auto"/>
        <w:jc w:val="both"/>
        <w:rPr>
          <w:rFonts w:ascii="Times New Roman" w:hAnsi="Times New Roman"/>
          <w:b/>
          <w:bCs/>
          <w:sz w:val="24"/>
          <w:szCs w:val="24"/>
        </w:rPr>
      </w:pPr>
      <w:r w:rsidRPr="003653DF">
        <w:rPr>
          <w:rFonts w:ascii="Times New Roman" w:hAnsi="Times New Roman"/>
          <w:b/>
          <w:bCs/>
          <w:sz w:val="24"/>
          <w:szCs w:val="24"/>
        </w:rPr>
        <w:t>Контрольно</w:t>
      </w:r>
      <w:r w:rsidR="001B7346" w:rsidRPr="003653DF">
        <w:rPr>
          <w:rFonts w:ascii="Times New Roman" w:hAnsi="Times New Roman"/>
          <w:b/>
          <w:bCs/>
          <w:sz w:val="24"/>
          <w:szCs w:val="24"/>
        </w:rPr>
        <w:t>е</w:t>
      </w:r>
      <w:r w:rsidRPr="003653DF">
        <w:rPr>
          <w:rFonts w:ascii="Times New Roman" w:hAnsi="Times New Roman"/>
          <w:b/>
          <w:bCs/>
          <w:sz w:val="24"/>
          <w:szCs w:val="24"/>
        </w:rPr>
        <w:t xml:space="preserve"> мероприятие «Проверка расходования средств областного бюджета, предоставленных в 2022 году областным государственным казенным учреждениям (выборочно), подведомственным Департаменту по вопросам семьи и детей Томской области, на выполнение мероприятий подпрограммы «Обеспечение государственной поддержки семей, имеющих детей» в рамках Государственной программы «Социальная поддержка населения Томской области»</w:t>
      </w:r>
    </w:p>
    <w:p w:rsidR="00B41A8A" w:rsidRPr="003653DF" w:rsidRDefault="00B41A8A" w:rsidP="009D76C5">
      <w:pPr>
        <w:spacing w:after="0" w:line="240" w:lineRule="auto"/>
        <w:ind w:firstLine="567"/>
        <w:jc w:val="both"/>
        <w:rPr>
          <w:rFonts w:ascii="Times New Roman" w:hAnsi="Times New Roman"/>
          <w:sz w:val="24"/>
          <w:szCs w:val="24"/>
        </w:rPr>
      </w:pPr>
      <w:r w:rsidRPr="003653DF">
        <w:rPr>
          <w:rFonts w:ascii="Times New Roman" w:hAnsi="Times New Roman"/>
          <w:bCs/>
          <w:sz w:val="24"/>
          <w:szCs w:val="24"/>
        </w:rPr>
        <w:t>Объекты проверки:</w:t>
      </w:r>
    </w:p>
    <w:p w:rsidR="00B41A8A" w:rsidRPr="003653DF" w:rsidRDefault="00B41A8A"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ОГКУ «Центр социальной помощи семье и детям Асиновского района»,</w:t>
      </w:r>
    </w:p>
    <w:p w:rsidR="00B41A8A" w:rsidRPr="003653DF" w:rsidRDefault="00B41A8A"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ОГКУ «Центр социальной помощи семье и детям Каргасокского района».</w:t>
      </w:r>
    </w:p>
    <w:p w:rsidR="001B7346" w:rsidRPr="003653DF" w:rsidRDefault="001B7346"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Цель подпрограммы - повышение уровня жизни детей-сирот и детей, оставшихся без попечения родителей, а также лиц из их числа и формирование безопасного и комфортного семейного окружения для детей на территории области, развитие системы отдыха и оздоровления детей.</w:t>
      </w:r>
    </w:p>
    <w:p w:rsidR="00A91563" w:rsidRPr="003653DF" w:rsidRDefault="00A9156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Меры социальной помощи детям, попавшим в трудную жизненную ситуацию, предоставляли в Томской области в 2022 году всего 8 центров социальной помощи семье и детям. В рамках осуществления деятельности произведены расходы:</w:t>
      </w:r>
    </w:p>
    <w:p w:rsidR="00A91563" w:rsidRPr="003653DF" w:rsidRDefault="00A9156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Центром социальной помощи Асиновского района в сумме 35</w:t>
      </w:r>
      <w:r w:rsidR="00711898" w:rsidRPr="003653DF">
        <w:rPr>
          <w:rFonts w:ascii="Times New Roman" w:hAnsi="Times New Roman"/>
          <w:sz w:val="24"/>
          <w:szCs w:val="24"/>
        </w:rPr>
        <w:t>,1</w:t>
      </w:r>
      <w:r w:rsidRPr="003653DF">
        <w:rPr>
          <w:rFonts w:ascii="Times New Roman" w:hAnsi="Times New Roman"/>
          <w:sz w:val="24"/>
          <w:szCs w:val="24"/>
        </w:rPr>
        <w:t xml:space="preserve"> </w:t>
      </w:r>
      <w:r w:rsidR="00711898" w:rsidRPr="003653DF">
        <w:rPr>
          <w:rFonts w:ascii="Times New Roman" w:hAnsi="Times New Roman"/>
          <w:sz w:val="24"/>
          <w:szCs w:val="24"/>
        </w:rPr>
        <w:t>млн</w:t>
      </w:r>
      <w:r w:rsidRPr="003653DF">
        <w:rPr>
          <w:rFonts w:ascii="Times New Roman" w:hAnsi="Times New Roman"/>
          <w:sz w:val="24"/>
          <w:szCs w:val="24"/>
        </w:rPr>
        <w:t>.руб., из них за счет средств областного бюджета 33</w:t>
      </w:r>
      <w:r w:rsidR="00711898" w:rsidRPr="003653DF">
        <w:rPr>
          <w:rFonts w:ascii="Times New Roman" w:hAnsi="Times New Roman"/>
          <w:sz w:val="24"/>
          <w:szCs w:val="24"/>
        </w:rPr>
        <w:t>,</w:t>
      </w:r>
      <w:r w:rsidRPr="003653DF">
        <w:rPr>
          <w:rFonts w:ascii="Times New Roman" w:hAnsi="Times New Roman"/>
          <w:sz w:val="24"/>
          <w:szCs w:val="24"/>
        </w:rPr>
        <w:t xml:space="preserve">6 </w:t>
      </w:r>
      <w:r w:rsidR="00711898" w:rsidRPr="003653DF">
        <w:rPr>
          <w:rFonts w:ascii="Times New Roman" w:hAnsi="Times New Roman"/>
          <w:sz w:val="24"/>
          <w:szCs w:val="24"/>
        </w:rPr>
        <w:t>млн</w:t>
      </w:r>
      <w:r w:rsidRPr="003653DF">
        <w:rPr>
          <w:rFonts w:ascii="Times New Roman" w:hAnsi="Times New Roman"/>
          <w:sz w:val="24"/>
          <w:szCs w:val="24"/>
        </w:rPr>
        <w:t>.руб. и 1</w:t>
      </w:r>
      <w:r w:rsidR="00711898" w:rsidRPr="003653DF">
        <w:rPr>
          <w:rFonts w:ascii="Times New Roman" w:hAnsi="Times New Roman"/>
          <w:sz w:val="24"/>
          <w:szCs w:val="24"/>
        </w:rPr>
        <w:t>,</w:t>
      </w:r>
      <w:r w:rsidRPr="003653DF">
        <w:rPr>
          <w:rFonts w:ascii="Times New Roman" w:hAnsi="Times New Roman"/>
          <w:sz w:val="24"/>
          <w:szCs w:val="24"/>
        </w:rPr>
        <w:t xml:space="preserve">5 </w:t>
      </w:r>
      <w:r w:rsidR="00711898" w:rsidRPr="003653DF">
        <w:rPr>
          <w:rFonts w:ascii="Times New Roman" w:hAnsi="Times New Roman"/>
          <w:sz w:val="24"/>
          <w:szCs w:val="24"/>
        </w:rPr>
        <w:t>млн</w:t>
      </w:r>
      <w:r w:rsidRPr="003653DF">
        <w:rPr>
          <w:rFonts w:ascii="Times New Roman" w:hAnsi="Times New Roman"/>
          <w:sz w:val="24"/>
          <w:szCs w:val="24"/>
        </w:rPr>
        <w:t>.руб. за счет средств безвозмездных поступлений из благотворительных фондов;</w:t>
      </w:r>
    </w:p>
    <w:p w:rsidR="00A91563" w:rsidRPr="003653DF" w:rsidRDefault="00A9156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Центром социальной помощи Каргасокского района в сумме 25</w:t>
      </w:r>
      <w:r w:rsidR="00711898" w:rsidRPr="003653DF">
        <w:rPr>
          <w:rFonts w:ascii="Times New Roman" w:hAnsi="Times New Roman"/>
          <w:sz w:val="24"/>
          <w:szCs w:val="24"/>
        </w:rPr>
        <w:t>,</w:t>
      </w:r>
      <w:r w:rsidRPr="003653DF">
        <w:rPr>
          <w:rFonts w:ascii="Times New Roman" w:hAnsi="Times New Roman"/>
          <w:sz w:val="24"/>
          <w:szCs w:val="24"/>
        </w:rPr>
        <w:t xml:space="preserve">4 </w:t>
      </w:r>
      <w:r w:rsidR="00711898" w:rsidRPr="003653DF">
        <w:rPr>
          <w:rFonts w:ascii="Times New Roman" w:hAnsi="Times New Roman"/>
          <w:sz w:val="24"/>
          <w:szCs w:val="24"/>
        </w:rPr>
        <w:t>млн</w:t>
      </w:r>
      <w:r w:rsidRPr="003653DF">
        <w:rPr>
          <w:rFonts w:ascii="Times New Roman" w:hAnsi="Times New Roman"/>
          <w:sz w:val="24"/>
          <w:szCs w:val="24"/>
        </w:rPr>
        <w:t>.руб. за счет средств областного бюджета.</w:t>
      </w:r>
    </w:p>
    <w:p w:rsidR="00A91563" w:rsidRPr="003653DF" w:rsidRDefault="00A9156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 В составе расходов учреждений основную долю составили расходы на оплату труда 27</w:t>
      </w:r>
      <w:r w:rsidR="00711898" w:rsidRPr="003653DF">
        <w:rPr>
          <w:rFonts w:ascii="Times New Roman" w:hAnsi="Times New Roman"/>
          <w:sz w:val="24"/>
          <w:szCs w:val="24"/>
        </w:rPr>
        <w:t>,</w:t>
      </w:r>
      <w:r w:rsidRPr="003653DF">
        <w:rPr>
          <w:rFonts w:ascii="Times New Roman" w:hAnsi="Times New Roman"/>
          <w:sz w:val="24"/>
          <w:szCs w:val="24"/>
        </w:rPr>
        <w:t xml:space="preserve">4 </w:t>
      </w:r>
      <w:r w:rsidR="00711898" w:rsidRPr="003653DF">
        <w:rPr>
          <w:rFonts w:ascii="Times New Roman" w:hAnsi="Times New Roman"/>
          <w:sz w:val="24"/>
          <w:szCs w:val="24"/>
        </w:rPr>
        <w:t>млн</w:t>
      </w:r>
      <w:r w:rsidRPr="003653DF">
        <w:rPr>
          <w:rFonts w:ascii="Times New Roman" w:hAnsi="Times New Roman"/>
          <w:sz w:val="24"/>
          <w:szCs w:val="24"/>
        </w:rPr>
        <w:t>.руб. (78%) и 21</w:t>
      </w:r>
      <w:r w:rsidR="00711898" w:rsidRPr="003653DF">
        <w:rPr>
          <w:rFonts w:ascii="Times New Roman" w:hAnsi="Times New Roman"/>
          <w:sz w:val="24"/>
          <w:szCs w:val="24"/>
        </w:rPr>
        <w:t>,8</w:t>
      </w:r>
      <w:r w:rsidRPr="003653DF">
        <w:rPr>
          <w:rFonts w:ascii="Times New Roman" w:hAnsi="Times New Roman"/>
          <w:sz w:val="24"/>
          <w:szCs w:val="24"/>
        </w:rPr>
        <w:t xml:space="preserve"> </w:t>
      </w:r>
      <w:r w:rsidR="00711898" w:rsidRPr="003653DF">
        <w:rPr>
          <w:rFonts w:ascii="Times New Roman" w:hAnsi="Times New Roman"/>
          <w:sz w:val="24"/>
          <w:szCs w:val="24"/>
        </w:rPr>
        <w:t>млн</w:t>
      </w:r>
      <w:r w:rsidRPr="003653DF">
        <w:rPr>
          <w:rFonts w:ascii="Times New Roman" w:hAnsi="Times New Roman"/>
          <w:sz w:val="24"/>
          <w:szCs w:val="24"/>
        </w:rPr>
        <w:t>.руб. (85%), на закупку товаров, работ и услуг - 3</w:t>
      </w:r>
      <w:r w:rsidR="00711898" w:rsidRPr="003653DF">
        <w:rPr>
          <w:rFonts w:ascii="Times New Roman" w:hAnsi="Times New Roman"/>
          <w:sz w:val="24"/>
          <w:szCs w:val="24"/>
        </w:rPr>
        <w:t>,</w:t>
      </w:r>
      <w:r w:rsidRPr="003653DF">
        <w:rPr>
          <w:rFonts w:ascii="Times New Roman" w:hAnsi="Times New Roman"/>
          <w:sz w:val="24"/>
          <w:szCs w:val="24"/>
        </w:rPr>
        <w:t xml:space="preserve">98 </w:t>
      </w:r>
      <w:r w:rsidR="00711898" w:rsidRPr="003653DF">
        <w:rPr>
          <w:rFonts w:ascii="Times New Roman" w:hAnsi="Times New Roman"/>
          <w:sz w:val="24"/>
          <w:szCs w:val="24"/>
        </w:rPr>
        <w:t>млн</w:t>
      </w:r>
      <w:r w:rsidRPr="003653DF">
        <w:rPr>
          <w:rFonts w:ascii="Times New Roman" w:hAnsi="Times New Roman"/>
          <w:sz w:val="24"/>
          <w:szCs w:val="24"/>
        </w:rPr>
        <w:t>.руб. (12%) и 3</w:t>
      </w:r>
      <w:r w:rsidR="00711898" w:rsidRPr="003653DF">
        <w:rPr>
          <w:rFonts w:ascii="Times New Roman" w:hAnsi="Times New Roman"/>
          <w:sz w:val="24"/>
          <w:szCs w:val="24"/>
        </w:rPr>
        <w:t>,</w:t>
      </w:r>
      <w:r w:rsidRPr="003653DF">
        <w:rPr>
          <w:rFonts w:ascii="Times New Roman" w:hAnsi="Times New Roman"/>
          <w:sz w:val="24"/>
          <w:szCs w:val="24"/>
        </w:rPr>
        <w:t xml:space="preserve">2 </w:t>
      </w:r>
      <w:r w:rsidR="00711898" w:rsidRPr="003653DF">
        <w:rPr>
          <w:rFonts w:ascii="Times New Roman" w:hAnsi="Times New Roman"/>
          <w:sz w:val="24"/>
          <w:szCs w:val="24"/>
        </w:rPr>
        <w:t>млн</w:t>
      </w:r>
      <w:r w:rsidRPr="003653DF">
        <w:rPr>
          <w:rFonts w:ascii="Times New Roman" w:hAnsi="Times New Roman"/>
          <w:sz w:val="24"/>
          <w:szCs w:val="24"/>
        </w:rPr>
        <w:t xml:space="preserve">.руб. (13%), на оплату за электроэнергию </w:t>
      </w:r>
      <w:r w:rsidR="00711898" w:rsidRPr="003653DF">
        <w:rPr>
          <w:rFonts w:ascii="Times New Roman" w:hAnsi="Times New Roman"/>
          <w:sz w:val="24"/>
          <w:szCs w:val="24"/>
        </w:rPr>
        <w:t>–</w:t>
      </w:r>
      <w:r w:rsidRPr="003653DF">
        <w:rPr>
          <w:rFonts w:ascii="Times New Roman" w:hAnsi="Times New Roman"/>
          <w:sz w:val="24"/>
          <w:szCs w:val="24"/>
        </w:rPr>
        <w:t xml:space="preserve"> 2</w:t>
      </w:r>
      <w:r w:rsidR="00711898" w:rsidRPr="003653DF">
        <w:rPr>
          <w:rFonts w:ascii="Times New Roman" w:hAnsi="Times New Roman"/>
          <w:sz w:val="24"/>
          <w:szCs w:val="24"/>
        </w:rPr>
        <w:t>,2</w:t>
      </w:r>
      <w:r w:rsidRPr="003653DF">
        <w:rPr>
          <w:rFonts w:ascii="Times New Roman" w:hAnsi="Times New Roman"/>
          <w:sz w:val="24"/>
          <w:szCs w:val="24"/>
        </w:rPr>
        <w:t xml:space="preserve"> </w:t>
      </w:r>
      <w:r w:rsidR="00711898" w:rsidRPr="003653DF">
        <w:rPr>
          <w:rFonts w:ascii="Times New Roman" w:hAnsi="Times New Roman"/>
          <w:sz w:val="24"/>
          <w:szCs w:val="24"/>
        </w:rPr>
        <w:t>млн</w:t>
      </w:r>
      <w:r w:rsidRPr="003653DF">
        <w:rPr>
          <w:rFonts w:ascii="Times New Roman" w:hAnsi="Times New Roman"/>
          <w:sz w:val="24"/>
          <w:szCs w:val="24"/>
        </w:rPr>
        <w:t xml:space="preserve">.руб. (6%) и </w:t>
      </w:r>
      <w:r w:rsidR="00711898" w:rsidRPr="003653DF">
        <w:rPr>
          <w:rFonts w:ascii="Times New Roman" w:hAnsi="Times New Roman"/>
          <w:sz w:val="24"/>
          <w:szCs w:val="24"/>
        </w:rPr>
        <w:t>0,4 млн</w:t>
      </w:r>
      <w:r w:rsidRPr="003653DF">
        <w:rPr>
          <w:rFonts w:ascii="Times New Roman" w:hAnsi="Times New Roman"/>
          <w:sz w:val="24"/>
          <w:szCs w:val="24"/>
        </w:rPr>
        <w:t xml:space="preserve">.руб. (2%) соответственно. </w:t>
      </w:r>
    </w:p>
    <w:p w:rsidR="00A91563" w:rsidRPr="003653DF" w:rsidRDefault="00A9156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Результат реализации мероприятий: предоставлены социальные услуги 314 н/л; охвачены профилактической работой семьи/дети, находящиеся в трудной жизненной ситуации 212/446; проведен патронаж замещающих 155 семей (229 детей); подготовлено 14 лиц, желающих принять на воспитание в семью ребенка; проведена консультативная социальная и психолого-педагогическая помощь 133 детям из 59 семей.</w:t>
      </w:r>
    </w:p>
    <w:p w:rsidR="00A91563" w:rsidRPr="003653DF" w:rsidRDefault="00A9156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В ходе мероприятия выявлены такие нарушения (недостатки)</w:t>
      </w:r>
      <w:r w:rsidR="003B372C">
        <w:rPr>
          <w:rFonts w:ascii="Times New Roman" w:hAnsi="Times New Roman"/>
          <w:sz w:val="24"/>
          <w:szCs w:val="24"/>
        </w:rPr>
        <w:t>,</w:t>
      </w:r>
      <w:r w:rsidRPr="003653DF">
        <w:rPr>
          <w:rFonts w:ascii="Times New Roman" w:hAnsi="Times New Roman"/>
          <w:sz w:val="24"/>
          <w:szCs w:val="24"/>
        </w:rPr>
        <w:t xml:space="preserve"> как: нарушения учета и отчетности; несоблюдение норм питания воспитанников; неправомерные выплаты работникам на сумму 0,21 млн.руб.; недостаток средств на оплату труда работников в сумме 2,4 млн.руб.; некачественная разработка штатного расписания, </w:t>
      </w:r>
      <w:proofErr w:type="spellStart"/>
      <w:r w:rsidRPr="003653DF">
        <w:rPr>
          <w:rFonts w:ascii="Times New Roman" w:hAnsi="Times New Roman"/>
          <w:sz w:val="24"/>
          <w:szCs w:val="24"/>
        </w:rPr>
        <w:t>колл.договора</w:t>
      </w:r>
      <w:proofErr w:type="spellEnd"/>
      <w:r w:rsidRPr="003653DF">
        <w:rPr>
          <w:rFonts w:ascii="Times New Roman" w:hAnsi="Times New Roman"/>
          <w:sz w:val="24"/>
          <w:szCs w:val="24"/>
        </w:rPr>
        <w:t xml:space="preserve">, Положений о системе оплаты труда, о </w:t>
      </w:r>
      <w:proofErr w:type="spellStart"/>
      <w:r w:rsidRPr="003653DF">
        <w:rPr>
          <w:rFonts w:ascii="Times New Roman" w:hAnsi="Times New Roman"/>
          <w:sz w:val="24"/>
          <w:szCs w:val="24"/>
        </w:rPr>
        <w:t>мат.стимулировании</w:t>
      </w:r>
      <w:proofErr w:type="spellEnd"/>
      <w:r w:rsidRPr="003653DF">
        <w:rPr>
          <w:rFonts w:ascii="Times New Roman" w:hAnsi="Times New Roman"/>
          <w:sz w:val="24"/>
          <w:szCs w:val="24"/>
        </w:rPr>
        <w:t xml:space="preserve">, о группе дневного пребывания; нарушения при признании н/л нуждающимися; невыплата работнику причитающейся надбавки; некачественная подготовка ВЦП, Порядка предоставления </w:t>
      </w:r>
      <w:proofErr w:type="spellStart"/>
      <w:r w:rsidRPr="003653DF">
        <w:rPr>
          <w:rFonts w:ascii="Times New Roman" w:hAnsi="Times New Roman"/>
          <w:sz w:val="24"/>
          <w:szCs w:val="24"/>
        </w:rPr>
        <w:t>соц.услуг</w:t>
      </w:r>
      <w:proofErr w:type="spellEnd"/>
      <w:r w:rsidRPr="003653DF">
        <w:rPr>
          <w:rFonts w:ascii="Times New Roman" w:hAnsi="Times New Roman"/>
          <w:sz w:val="24"/>
          <w:szCs w:val="24"/>
        </w:rPr>
        <w:t xml:space="preserve">, Стандартов предоставления </w:t>
      </w:r>
      <w:proofErr w:type="spellStart"/>
      <w:r w:rsidRPr="003653DF">
        <w:rPr>
          <w:rFonts w:ascii="Times New Roman" w:hAnsi="Times New Roman"/>
          <w:sz w:val="24"/>
          <w:szCs w:val="24"/>
        </w:rPr>
        <w:t>соц.услуг</w:t>
      </w:r>
      <w:proofErr w:type="spellEnd"/>
      <w:r w:rsidRPr="003653DF">
        <w:rPr>
          <w:rFonts w:ascii="Times New Roman" w:hAnsi="Times New Roman"/>
          <w:sz w:val="24"/>
          <w:szCs w:val="24"/>
        </w:rPr>
        <w:t xml:space="preserve">; неправомерное наделение полномочиями Центров </w:t>
      </w:r>
      <w:proofErr w:type="spellStart"/>
      <w:r w:rsidRPr="003653DF">
        <w:rPr>
          <w:rFonts w:ascii="Times New Roman" w:hAnsi="Times New Roman"/>
          <w:sz w:val="24"/>
          <w:szCs w:val="24"/>
        </w:rPr>
        <w:t>соц.поддержки</w:t>
      </w:r>
      <w:proofErr w:type="spellEnd"/>
      <w:r w:rsidRPr="003653DF">
        <w:rPr>
          <w:rFonts w:ascii="Times New Roman" w:hAnsi="Times New Roman"/>
          <w:sz w:val="24"/>
          <w:szCs w:val="24"/>
        </w:rPr>
        <w:t>.</w:t>
      </w:r>
    </w:p>
    <w:p w:rsidR="00A91563" w:rsidRPr="003653DF" w:rsidRDefault="00A9156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Неиспользование приобретенного имущества квалифицировано как неэффективное использование бюджетных средств в сумме 0,02 млн.руб.</w:t>
      </w:r>
    </w:p>
    <w:p w:rsidR="00A91563" w:rsidRPr="003653DF" w:rsidRDefault="00A9156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По итогам мероприятия направлены 2 представления и 2 информационных письма. Рекомендовано установить единообразную систему определения размера стимулирующих выплат; актуализировать локальные правовые акта по оплате труда учреждения, правовые акты Томской области в целях приведения в соответствие с действующим законодательством; привести нормы питания воспитанников в соответствие с законодательством.</w:t>
      </w:r>
    </w:p>
    <w:p w:rsidR="00A91563" w:rsidRPr="003653DF" w:rsidRDefault="00A91563"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Департаментом по вопросам семьи и детей принят приказ «Об утверждении среднесуточных норм питания получателей социальных услуг из числа несовершеннолетних граждан, являющихся воспитанниками ОГУ </w:t>
      </w:r>
      <w:proofErr w:type="spellStart"/>
      <w:r w:rsidRPr="003653DF">
        <w:rPr>
          <w:rFonts w:ascii="Times New Roman" w:hAnsi="Times New Roman"/>
          <w:sz w:val="24"/>
          <w:szCs w:val="24"/>
        </w:rPr>
        <w:t>соц.обслуживания</w:t>
      </w:r>
      <w:proofErr w:type="spellEnd"/>
      <w:r w:rsidRPr="003653DF">
        <w:rPr>
          <w:rFonts w:ascii="Times New Roman" w:hAnsi="Times New Roman"/>
          <w:sz w:val="24"/>
          <w:szCs w:val="24"/>
        </w:rPr>
        <w:t>, подведомственных Департаменту…», внесены изменения в постановление Администрации Томской области «Об определении уполномоченного исполнительного органа государственной власти Томской области в сфере социального обслуживания».</w:t>
      </w:r>
    </w:p>
    <w:p w:rsidR="00A91563" w:rsidRPr="003653DF" w:rsidRDefault="00A91563" w:rsidP="009D76C5">
      <w:pPr>
        <w:spacing w:after="0" w:line="240" w:lineRule="auto"/>
        <w:ind w:firstLine="567"/>
        <w:jc w:val="both"/>
        <w:rPr>
          <w:rFonts w:ascii="Times New Roman" w:hAnsi="Times New Roman"/>
          <w:sz w:val="24"/>
          <w:szCs w:val="24"/>
        </w:rPr>
      </w:pPr>
    </w:p>
    <w:p w:rsidR="00A218B2" w:rsidRPr="003653DF" w:rsidRDefault="00711898" w:rsidP="009D76C5">
      <w:pPr>
        <w:spacing w:after="0" w:line="240" w:lineRule="auto"/>
        <w:jc w:val="both"/>
        <w:rPr>
          <w:rFonts w:ascii="Times New Roman" w:hAnsi="Times New Roman"/>
          <w:b/>
          <w:bCs/>
          <w:sz w:val="24"/>
          <w:szCs w:val="24"/>
        </w:rPr>
      </w:pPr>
      <w:r w:rsidRPr="003653DF">
        <w:rPr>
          <w:rFonts w:ascii="Times New Roman" w:hAnsi="Times New Roman"/>
          <w:b/>
          <w:bCs/>
          <w:sz w:val="24"/>
          <w:szCs w:val="24"/>
        </w:rPr>
        <w:t>К</w:t>
      </w:r>
      <w:r w:rsidR="00B52CFB" w:rsidRPr="003653DF">
        <w:rPr>
          <w:rFonts w:ascii="Times New Roman" w:hAnsi="Times New Roman"/>
          <w:b/>
          <w:bCs/>
          <w:sz w:val="24"/>
          <w:szCs w:val="24"/>
        </w:rPr>
        <w:t>онтрольное мероприятие</w:t>
      </w:r>
      <w:r w:rsidRPr="003653DF">
        <w:rPr>
          <w:rFonts w:ascii="Times New Roman" w:hAnsi="Times New Roman"/>
          <w:b/>
          <w:bCs/>
          <w:sz w:val="24"/>
          <w:szCs w:val="24"/>
        </w:rPr>
        <w:t xml:space="preserve"> «Проверка эффективности и результативности использования бюджетных средств, предоставленных в 2020-2022 годах на </w:t>
      </w:r>
      <w:proofErr w:type="spellStart"/>
      <w:r w:rsidRPr="003653DF">
        <w:rPr>
          <w:rFonts w:ascii="Times New Roman" w:hAnsi="Times New Roman"/>
          <w:b/>
          <w:bCs/>
          <w:sz w:val="24"/>
          <w:szCs w:val="24"/>
        </w:rPr>
        <w:t>докапитализацию</w:t>
      </w:r>
      <w:proofErr w:type="spellEnd"/>
      <w:r w:rsidRPr="003653DF">
        <w:rPr>
          <w:rFonts w:ascii="Times New Roman" w:hAnsi="Times New Roman"/>
          <w:b/>
          <w:bCs/>
          <w:sz w:val="24"/>
          <w:szCs w:val="24"/>
        </w:rPr>
        <w:t xml:space="preserve"> Гарантийного фонда Томской области в целях оказания мер государственной поддержки малого и среднего предпринимательства»</w:t>
      </w:r>
    </w:p>
    <w:p w:rsidR="00B52CFB" w:rsidRPr="003653DF" w:rsidRDefault="00B52CFB"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Мероприятия по </w:t>
      </w:r>
      <w:proofErr w:type="spellStart"/>
      <w:r w:rsidRPr="003653DF">
        <w:rPr>
          <w:rFonts w:ascii="Times New Roman" w:hAnsi="Times New Roman"/>
          <w:sz w:val="24"/>
          <w:szCs w:val="24"/>
        </w:rPr>
        <w:t>докапитализации</w:t>
      </w:r>
      <w:proofErr w:type="spellEnd"/>
      <w:r w:rsidRPr="003653DF">
        <w:rPr>
          <w:rFonts w:ascii="Times New Roman" w:hAnsi="Times New Roman"/>
          <w:sz w:val="24"/>
          <w:szCs w:val="24"/>
        </w:rPr>
        <w:t xml:space="preserve"> ООО «Гарантийный фонд Томской области» предусмотрены ГП «Развитие предпринимательства и повышение эффективности государственного управления социально-экономическим развитием Томской области».</w:t>
      </w:r>
    </w:p>
    <w:p w:rsidR="00B52CFB" w:rsidRPr="003653DF" w:rsidRDefault="00B52CFB"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Цель ГП - развитие предпринимательства и повышение эффективности государственного управления социально-экономическим развитием Томской области.</w:t>
      </w:r>
    </w:p>
    <w:p w:rsidR="00B52CFB" w:rsidRPr="003653DF" w:rsidRDefault="00B52CFB"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 xml:space="preserve">Общий объем </w:t>
      </w:r>
      <w:proofErr w:type="spellStart"/>
      <w:r w:rsidRPr="003653DF">
        <w:rPr>
          <w:rFonts w:ascii="Times New Roman" w:hAnsi="Times New Roman"/>
          <w:sz w:val="24"/>
          <w:szCs w:val="24"/>
        </w:rPr>
        <w:t>докапитализации</w:t>
      </w:r>
      <w:proofErr w:type="spellEnd"/>
      <w:r w:rsidRPr="003653DF">
        <w:rPr>
          <w:rFonts w:ascii="Times New Roman" w:hAnsi="Times New Roman"/>
          <w:sz w:val="24"/>
          <w:szCs w:val="24"/>
        </w:rPr>
        <w:t xml:space="preserve"> за период проверки составил 85,7 млн. руб., из них:</w:t>
      </w:r>
    </w:p>
    <w:p w:rsidR="00B52CFB" w:rsidRPr="003653DF" w:rsidRDefault="00B52CFB" w:rsidP="009D76C5">
      <w:pPr>
        <w:spacing w:after="0" w:line="240" w:lineRule="auto"/>
        <w:jc w:val="both"/>
        <w:rPr>
          <w:rFonts w:ascii="Times New Roman" w:hAnsi="Times New Roman"/>
          <w:sz w:val="24"/>
          <w:szCs w:val="24"/>
        </w:rPr>
      </w:pPr>
      <w:r w:rsidRPr="003653DF">
        <w:rPr>
          <w:rFonts w:ascii="Times New Roman" w:hAnsi="Times New Roman"/>
          <w:sz w:val="24"/>
          <w:szCs w:val="24"/>
        </w:rPr>
        <w:t>- за счет средств федерального бюджета - 82,3 млн.руб.,</w:t>
      </w:r>
    </w:p>
    <w:p w:rsidR="00B52CFB" w:rsidRPr="003653DF" w:rsidRDefault="00B52CFB" w:rsidP="009D76C5">
      <w:pPr>
        <w:spacing w:after="0" w:line="240" w:lineRule="auto"/>
        <w:jc w:val="both"/>
        <w:rPr>
          <w:rFonts w:ascii="Times New Roman" w:hAnsi="Times New Roman"/>
          <w:sz w:val="24"/>
          <w:szCs w:val="24"/>
        </w:rPr>
      </w:pPr>
      <w:r w:rsidRPr="003653DF">
        <w:rPr>
          <w:rFonts w:ascii="Times New Roman" w:hAnsi="Times New Roman"/>
          <w:sz w:val="24"/>
          <w:szCs w:val="24"/>
        </w:rPr>
        <w:t xml:space="preserve">- </w:t>
      </w:r>
      <w:r w:rsidR="00FB5942" w:rsidRPr="003653DF">
        <w:rPr>
          <w:rFonts w:ascii="Times New Roman" w:hAnsi="Times New Roman"/>
          <w:sz w:val="24"/>
          <w:szCs w:val="24"/>
        </w:rPr>
        <w:t xml:space="preserve">за счет средств </w:t>
      </w:r>
      <w:r w:rsidRPr="003653DF">
        <w:rPr>
          <w:rFonts w:ascii="Times New Roman" w:hAnsi="Times New Roman"/>
          <w:sz w:val="24"/>
          <w:szCs w:val="24"/>
        </w:rPr>
        <w:t>областно</w:t>
      </w:r>
      <w:r w:rsidR="00FB5942" w:rsidRPr="003653DF">
        <w:rPr>
          <w:rFonts w:ascii="Times New Roman" w:hAnsi="Times New Roman"/>
          <w:sz w:val="24"/>
          <w:szCs w:val="24"/>
        </w:rPr>
        <w:t>го</w:t>
      </w:r>
      <w:r w:rsidRPr="003653DF">
        <w:rPr>
          <w:rFonts w:ascii="Times New Roman" w:hAnsi="Times New Roman"/>
          <w:sz w:val="24"/>
          <w:szCs w:val="24"/>
        </w:rPr>
        <w:t xml:space="preserve"> бюджет</w:t>
      </w:r>
      <w:r w:rsidR="00FB5942" w:rsidRPr="003653DF">
        <w:rPr>
          <w:rFonts w:ascii="Times New Roman" w:hAnsi="Times New Roman"/>
          <w:sz w:val="24"/>
          <w:szCs w:val="24"/>
        </w:rPr>
        <w:t>а</w:t>
      </w:r>
      <w:r w:rsidRPr="003653DF">
        <w:rPr>
          <w:rFonts w:ascii="Times New Roman" w:hAnsi="Times New Roman"/>
          <w:sz w:val="24"/>
          <w:szCs w:val="24"/>
        </w:rPr>
        <w:t xml:space="preserve"> - 3,4 млн</w:t>
      </w:r>
      <w:r w:rsidR="00FB5942" w:rsidRPr="003653DF">
        <w:rPr>
          <w:rFonts w:ascii="Times New Roman" w:hAnsi="Times New Roman"/>
          <w:sz w:val="24"/>
          <w:szCs w:val="24"/>
        </w:rPr>
        <w:t>. руб.</w:t>
      </w:r>
    </w:p>
    <w:p w:rsidR="00B52CFB" w:rsidRPr="003653DF" w:rsidRDefault="00FB5942" w:rsidP="009D76C5">
      <w:pPr>
        <w:spacing w:after="0" w:line="240" w:lineRule="auto"/>
        <w:ind w:firstLine="567"/>
        <w:jc w:val="both"/>
        <w:rPr>
          <w:rFonts w:ascii="Times New Roman" w:hAnsi="Times New Roman"/>
          <w:sz w:val="24"/>
          <w:szCs w:val="24"/>
        </w:rPr>
      </w:pPr>
      <w:r w:rsidRPr="003653DF">
        <w:rPr>
          <w:rFonts w:ascii="Times New Roman" w:hAnsi="Times New Roman"/>
          <w:sz w:val="24"/>
          <w:szCs w:val="24"/>
        </w:rPr>
        <w:t>Средства Фонду были предоставлены в виде бюджетных инвестиций на увеличение уставного капитала для обеспечения предоставления поручительств (гарантий) субъектам МСП.</w:t>
      </w:r>
    </w:p>
    <w:p w:rsidR="00FB5942" w:rsidRPr="003653DF" w:rsidRDefault="00FB5942" w:rsidP="009D76C5">
      <w:pPr>
        <w:spacing w:after="0" w:line="240" w:lineRule="auto"/>
        <w:ind w:firstLine="567"/>
        <w:jc w:val="both"/>
        <w:rPr>
          <w:rFonts w:ascii="Times New Roman" w:hAnsi="Times New Roman"/>
          <w:bCs/>
          <w:sz w:val="24"/>
          <w:szCs w:val="24"/>
        </w:rPr>
      </w:pPr>
      <w:r w:rsidRPr="003653DF">
        <w:rPr>
          <w:rFonts w:ascii="Times New Roman" w:hAnsi="Times New Roman"/>
          <w:sz w:val="24"/>
          <w:szCs w:val="24"/>
        </w:rPr>
        <w:t xml:space="preserve">Результат реализации мероприятий ГП: </w:t>
      </w:r>
      <w:r w:rsidRPr="003653DF">
        <w:rPr>
          <w:rFonts w:ascii="Times New Roman" w:hAnsi="Times New Roman"/>
          <w:bCs/>
          <w:sz w:val="24"/>
          <w:szCs w:val="24"/>
        </w:rPr>
        <w:t xml:space="preserve">исполнены все обязательства, установленные договорами на увеличение уставного капитала; достигнуты показатели мероприятия по </w:t>
      </w:r>
      <w:proofErr w:type="spellStart"/>
      <w:r w:rsidRPr="003653DF">
        <w:rPr>
          <w:rFonts w:ascii="Times New Roman" w:hAnsi="Times New Roman"/>
          <w:bCs/>
          <w:sz w:val="24"/>
          <w:szCs w:val="24"/>
        </w:rPr>
        <w:t>докапитализации</w:t>
      </w:r>
      <w:proofErr w:type="spellEnd"/>
      <w:r w:rsidRPr="003653DF">
        <w:rPr>
          <w:rFonts w:ascii="Times New Roman" w:hAnsi="Times New Roman"/>
          <w:bCs/>
          <w:sz w:val="24"/>
          <w:szCs w:val="24"/>
        </w:rPr>
        <w:t xml:space="preserve"> (предоставление поручительств); заключены договоры поручительства по 232 заявкам на общую сумму поручительств 1,5 млрд.руб.; востребованность субъектами МСП в поручительствах Гарантийного фонда составила всего 46-64 %%.</w:t>
      </w:r>
    </w:p>
    <w:p w:rsidR="00FB5942" w:rsidRPr="003653DF" w:rsidRDefault="00FB5942"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В ходе мероприятия выявлены такие нарушения (недостатки)</w:t>
      </w:r>
      <w:r w:rsidR="003B372C">
        <w:rPr>
          <w:rFonts w:ascii="Times New Roman" w:hAnsi="Times New Roman"/>
          <w:bCs/>
          <w:sz w:val="24"/>
          <w:szCs w:val="24"/>
        </w:rPr>
        <w:t>,</w:t>
      </w:r>
      <w:r w:rsidRPr="003653DF">
        <w:rPr>
          <w:rFonts w:ascii="Times New Roman" w:hAnsi="Times New Roman"/>
          <w:bCs/>
          <w:sz w:val="24"/>
          <w:szCs w:val="24"/>
        </w:rPr>
        <w:t xml:space="preserve"> как: не обеспечено ведение самостоятельного учета средств бюдж</w:t>
      </w:r>
      <w:r w:rsidR="003C174A" w:rsidRPr="003653DF">
        <w:rPr>
          <w:rFonts w:ascii="Times New Roman" w:hAnsi="Times New Roman"/>
          <w:bCs/>
          <w:sz w:val="24"/>
          <w:szCs w:val="24"/>
        </w:rPr>
        <w:t xml:space="preserve">етных </w:t>
      </w:r>
      <w:r w:rsidRPr="003653DF">
        <w:rPr>
          <w:rFonts w:ascii="Times New Roman" w:hAnsi="Times New Roman"/>
          <w:bCs/>
          <w:sz w:val="24"/>
          <w:szCs w:val="24"/>
        </w:rPr>
        <w:t>инвестиций и размещения их на отдельных счетах; бюджетные инвестиции, предоставленные Фонду для увеличения уставного капитала в целях оказания поддержки субъектам МСП, направлялись на выплату дивидендов учредителю; размещение средств в банке, не соответствующему требованиям Минэкономразвития, привело к потере процентов по депозиту в сумме 2,7 млн.руб.; несоблюдение требований в части порядка определения размера гарантийного капитала; предоставление бюджетных средств Фонду в сумме 44,5 млн.руб., которые возвращены в бюджет через 6 мес. в связи с невозможностью их использования.</w:t>
      </w:r>
    </w:p>
    <w:p w:rsidR="00FB5942" w:rsidRPr="003653DF" w:rsidRDefault="00FB5942" w:rsidP="009D76C5">
      <w:pPr>
        <w:spacing w:after="0" w:line="240" w:lineRule="auto"/>
        <w:ind w:firstLine="567"/>
        <w:jc w:val="both"/>
        <w:rPr>
          <w:rFonts w:ascii="Times New Roman" w:hAnsi="Times New Roman"/>
          <w:bCs/>
          <w:sz w:val="24"/>
          <w:szCs w:val="24"/>
        </w:rPr>
      </w:pPr>
      <w:r w:rsidRPr="003653DF">
        <w:rPr>
          <w:rFonts w:ascii="Times New Roman" w:hAnsi="Times New Roman"/>
          <w:sz w:val="24"/>
          <w:szCs w:val="24"/>
        </w:rPr>
        <w:t xml:space="preserve">По итогам </w:t>
      </w:r>
      <w:r w:rsidRPr="003653DF">
        <w:rPr>
          <w:rFonts w:ascii="Times New Roman" w:hAnsi="Times New Roman"/>
          <w:bCs/>
          <w:sz w:val="24"/>
          <w:szCs w:val="24"/>
        </w:rPr>
        <w:t>мероприятия направлены 1 представление и 2 информационных письма, рекомендовано активизировать мероприятия по продвижению гарантийных продуктов, развитию, наращиванию партнерской сети, а также внести изменения в Стратегию развития Фонда в части осуществления поддержки физлиц, применяющих специальный налоговый режим «Налог на профессиональный доход».</w:t>
      </w:r>
    </w:p>
    <w:p w:rsidR="00B52CFB" w:rsidRPr="003653DF" w:rsidRDefault="00B52CFB" w:rsidP="009D76C5">
      <w:pPr>
        <w:spacing w:after="0" w:line="240" w:lineRule="auto"/>
        <w:ind w:firstLine="567"/>
        <w:jc w:val="both"/>
        <w:rPr>
          <w:rFonts w:ascii="Times New Roman" w:hAnsi="Times New Roman"/>
          <w:bCs/>
          <w:sz w:val="24"/>
          <w:szCs w:val="24"/>
        </w:rPr>
      </w:pPr>
    </w:p>
    <w:p w:rsidR="00B52CFB" w:rsidRPr="003653DF" w:rsidRDefault="003C174A" w:rsidP="009D76C5">
      <w:pPr>
        <w:spacing w:after="0" w:line="240" w:lineRule="auto"/>
        <w:jc w:val="both"/>
        <w:rPr>
          <w:rFonts w:ascii="Times New Roman" w:hAnsi="Times New Roman"/>
          <w:b/>
          <w:bCs/>
          <w:sz w:val="24"/>
          <w:szCs w:val="24"/>
        </w:rPr>
      </w:pPr>
      <w:r w:rsidRPr="003653DF">
        <w:rPr>
          <w:rFonts w:ascii="Times New Roman" w:hAnsi="Times New Roman"/>
          <w:b/>
          <w:bCs/>
          <w:sz w:val="24"/>
          <w:szCs w:val="24"/>
        </w:rPr>
        <w:t>Контрольное мероприятие «Проверка использования бюджетных средств, направленных в 2020-2022 годах на развитие инновационного территориального кластера «</w:t>
      </w:r>
      <w:proofErr w:type="spellStart"/>
      <w:r w:rsidRPr="003653DF">
        <w:rPr>
          <w:rFonts w:ascii="Times New Roman" w:hAnsi="Times New Roman"/>
          <w:b/>
          <w:bCs/>
          <w:sz w:val="24"/>
          <w:szCs w:val="24"/>
        </w:rPr>
        <w:t>Smart</w:t>
      </w:r>
      <w:proofErr w:type="spellEnd"/>
      <w:r w:rsidRPr="003653DF">
        <w:rPr>
          <w:rFonts w:ascii="Times New Roman" w:hAnsi="Times New Roman"/>
          <w:b/>
          <w:bCs/>
          <w:sz w:val="24"/>
          <w:szCs w:val="24"/>
        </w:rPr>
        <w:t xml:space="preserve"> </w:t>
      </w:r>
      <w:proofErr w:type="spellStart"/>
      <w:r w:rsidRPr="003653DF">
        <w:rPr>
          <w:rFonts w:ascii="Times New Roman" w:hAnsi="Times New Roman"/>
          <w:b/>
          <w:bCs/>
          <w:sz w:val="24"/>
          <w:szCs w:val="24"/>
        </w:rPr>
        <w:t>Technologies</w:t>
      </w:r>
      <w:proofErr w:type="spellEnd"/>
      <w:r w:rsidRPr="003653DF">
        <w:rPr>
          <w:rFonts w:ascii="Times New Roman" w:hAnsi="Times New Roman"/>
          <w:b/>
          <w:bCs/>
          <w:sz w:val="24"/>
          <w:szCs w:val="24"/>
        </w:rPr>
        <w:t xml:space="preserve"> Tomsk» при реализации государственной программы «Развитие инновационной деятельности и науки в Томской области»</w:t>
      </w:r>
    </w:p>
    <w:p w:rsidR="009E5AD4" w:rsidRPr="003653DF" w:rsidRDefault="009E5AD4"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Объекты проверки:</w:t>
      </w:r>
    </w:p>
    <w:p w:rsidR="009E5AD4" w:rsidRPr="003653DF" w:rsidRDefault="009E5AD4" w:rsidP="009D76C5">
      <w:pPr>
        <w:spacing w:after="0" w:line="240" w:lineRule="auto"/>
        <w:jc w:val="both"/>
        <w:rPr>
          <w:rFonts w:ascii="Times New Roman" w:hAnsi="Times New Roman"/>
          <w:bCs/>
          <w:sz w:val="24"/>
          <w:szCs w:val="24"/>
        </w:rPr>
      </w:pPr>
      <w:r w:rsidRPr="003653DF">
        <w:rPr>
          <w:rFonts w:ascii="Times New Roman" w:hAnsi="Times New Roman"/>
          <w:bCs/>
          <w:sz w:val="24"/>
          <w:szCs w:val="24"/>
        </w:rPr>
        <w:t>- АНО «Центр инжиниринга и инноваций Томской области»,</w:t>
      </w:r>
    </w:p>
    <w:p w:rsidR="009E5AD4" w:rsidRPr="003653DF" w:rsidRDefault="009E5AD4" w:rsidP="009D76C5">
      <w:pPr>
        <w:spacing w:after="0" w:line="240" w:lineRule="auto"/>
        <w:jc w:val="both"/>
        <w:rPr>
          <w:rFonts w:ascii="Times New Roman" w:hAnsi="Times New Roman"/>
          <w:bCs/>
          <w:sz w:val="24"/>
          <w:szCs w:val="24"/>
        </w:rPr>
      </w:pPr>
      <w:r w:rsidRPr="003653DF">
        <w:rPr>
          <w:rFonts w:ascii="Times New Roman" w:hAnsi="Times New Roman"/>
          <w:bCs/>
          <w:sz w:val="24"/>
          <w:szCs w:val="24"/>
        </w:rPr>
        <w:t>- Департамент по развитию инновационной и предпринимательской деятельности Томской области.</w:t>
      </w:r>
    </w:p>
    <w:p w:rsidR="002E5D87" w:rsidRPr="003653DF" w:rsidRDefault="002E5D87"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АНО «ЦИИТО» является элементом инновационной инфраструктуры Томской области, включена в Единый реестр организаций, образующих инфраструктуру поддержки субъектов малого и среднего предпринимательства Томской области.</w:t>
      </w:r>
    </w:p>
    <w:p w:rsidR="002E5D87" w:rsidRPr="003653DF" w:rsidRDefault="002E5D87"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Инновационный территориальный кластер «</w:t>
      </w:r>
      <w:proofErr w:type="spellStart"/>
      <w:r w:rsidRPr="003653DF">
        <w:rPr>
          <w:rFonts w:ascii="Times New Roman" w:hAnsi="Times New Roman"/>
          <w:bCs/>
          <w:sz w:val="24"/>
          <w:szCs w:val="24"/>
        </w:rPr>
        <w:t>Smart</w:t>
      </w:r>
      <w:proofErr w:type="spellEnd"/>
      <w:r w:rsidRPr="003653DF">
        <w:rPr>
          <w:rFonts w:ascii="Times New Roman" w:hAnsi="Times New Roman"/>
          <w:bCs/>
          <w:sz w:val="24"/>
          <w:szCs w:val="24"/>
        </w:rPr>
        <w:t xml:space="preserve"> </w:t>
      </w:r>
      <w:proofErr w:type="spellStart"/>
      <w:r w:rsidRPr="003653DF">
        <w:rPr>
          <w:rFonts w:ascii="Times New Roman" w:hAnsi="Times New Roman"/>
          <w:bCs/>
          <w:sz w:val="24"/>
          <w:szCs w:val="24"/>
        </w:rPr>
        <w:t>Technologies</w:t>
      </w:r>
      <w:proofErr w:type="spellEnd"/>
      <w:r w:rsidRPr="003653DF">
        <w:rPr>
          <w:rFonts w:ascii="Times New Roman" w:hAnsi="Times New Roman"/>
          <w:bCs/>
          <w:sz w:val="24"/>
          <w:szCs w:val="24"/>
        </w:rPr>
        <w:t xml:space="preserve"> Tomsk» создан с целью масштабирования высокотехнологичных бизнесов, достижения мирового уровня инвестиционной привлекательности и расширения экспорта продукции и услуг на основе кооперационных проектов компаний, университетов и научных организаций, и формирование проектных альянсов, как ключевой формы кооперации организаций-участников кластера. В Кластере действует 6 проектных альянсов: «Медицина. Фармацевтика», «Техническое зрение», «Арктика», «Робототехника», «Цифровая медицина», «Умный Город». Планируется создание еще нескольких проектных альянсов - «Цифровая промышленность» и «Цифровая железная дорога».</w:t>
      </w:r>
    </w:p>
    <w:p w:rsidR="002E5D87" w:rsidRPr="003653DF" w:rsidRDefault="002E5D87"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АНО «ЦИИТО» на условиях софинансирования (посредством оплаты услуги исполнителю трехстороннего договора на оказание услуг в интересах участника конкурса в размере не более 80% от общей стоимости, предложенной исполнителем) предоставляет участникам кластера следующие услуги:</w:t>
      </w:r>
    </w:p>
    <w:p w:rsidR="002E5D87" w:rsidRPr="003653DF" w:rsidRDefault="002E5D87"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 xml:space="preserve">- </w:t>
      </w:r>
      <w:proofErr w:type="spellStart"/>
      <w:r w:rsidRPr="003653DF">
        <w:rPr>
          <w:rFonts w:ascii="Times New Roman" w:hAnsi="Times New Roman"/>
          <w:bCs/>
          <w:sz w:val="24"/>
          <w:szCs w:val="24"/>
        </w:rPr>
        <w:t>инженерно</w:t>
      </w:r>
      <w:proofErr w:type="spellEnd"/>
      <w:r w:rsidRPr="003653DF">
        <w:rPr>
          <w:rFonts w:ascii="Times New Roman" w:hAnsi="Times New Roman"/>
          <w:bCs/>
          <w:sz w:val="24"/>
          <w:szCs w:val="24"/>
        </w:rPr>
        <w:t xml:space="preserve"> - консультационные (инжиниринговые) услуги (работы); </w:t>
      </w:r>
    </w:p>
    <w:p w:rsidR="002E5D87" w:rsidRPr="003653DF" w:rsidRDefault="002E5D87"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 xml:space="preserve">- услуги (работы) по прототипированию и промышленному дизайну;  </w:t>
      </w:r>
    </w:p>
    <w:p w:rsidR="00B52CFB" w:rsidRPr="003653DF" w:rsidRDefault="002E5D87"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 проведение исследовательских работ и работ по испытаниям различных видов.</w:t>
      </w:r>
    </w:p>
    <w:p w:rsidR="002E5D87" w:rsidRPr="003653DF" w:rsidRDefault="002E5D87"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По состоянию на 09.11.23 в Реестре участников Кластера 229 организаций Томской области; заявлено о реализации 42 совместных кластерных проекта; заключено 54 договора на оказание услуг сумму 29,4 млн.руб. с 20 участниками Кластера (9% от участников Кластера) и 36 исполнителями; создано 18 новых инновационных продуктов.</w:t>
      </w:r>
    </w:p>
    <w:p w:rsidR="00075D94" w:rsidRPr="003653DF" w:rsidRDefault="00075D94"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В ходе мероприятия выявлены такие нарушения (недостатки)</w:t>
      </w:r>
      <w:r w:rsidR="003B372C">
        <w:rPr>
          <w:rFonts w:ascii="Times New Roman" w:hAnsi="Times New Roman"/>
          <w:bCs/>
          <w:sz w:val="24"/>
          <w:szCs w:val="24"/>
        </w:rPr>
        <w:t>,</w:t>
      </w:r>
      <w:r w:rsidRPr="003653DF">
        <w:rPr>
          <w:rFonts w:ascii="Times New Roman" w:hAnsi="Times New Roman"/>
          <w:bCs/>
          <w:sz w:val="24"/>
          <w:szCs w:val="24"/>
        </w:rPr>
        <w:t xml:space="preserve"> как: невостребованность инновационного продукта из-за наличия на рынке аналогов; не достигнуты планируемые показатели реализации кластерного проекта; некачественная работа АНО с участниками Кластера и их проектами; некачественная разработка внутренних документов АНО.</w:t>
      </w:r>
    </w:p>
    <w:p w:rsidR="00075D94" w:rsidRPr="003653DF" w:rsidRDefault="00075D94"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По итогам мероприятия направлено 1 информационное письмо, рекомендовано актуализировать НПА, регулирующие порядок предоставления субсидии; скорректировать перечень документов к заявке кластерного проекта участника Конкурса; дополнить перечень документов, формируемых при проведении запроса ценовых предложений для отбора исполнителей; проводить мониторинг перспектив созданного инновационного продукта, анализ полученного эффекта для экономики Томской области в соответствии с целями и задачами ГП.</w:t>
      </w:r>
    </w:p>
    <w:p w:rsidR="00B52CFB" w:rsidRPr="003653DF" w:rsidRDefault="00B52CFB" w:rsidP="009D76C5">
      <w:pPr>
        <w:spacing w:after="0" w:line="240" w:lineRule="auto"/>
        <w:jc w:val="both"/>
        <w:rPr>
          <w:rFonts w:ascii="Times New Roman" w:hAnsi="Times New Roman"/>
          <w:bCs/>
          <w:sz w:val="24"/>
          <w:szCs w:val="24"/>
        </w:rPr>
      </w:pPr>
    </w:p>
    <w:p w:rsidR="003653DF" w:rsidRPr="00570BB5" w:rsidRDefault="003653DF" w:rsidP="009D76C5">
      <w:pPr>
        <w:spacing w:after="0" w:line="240" w:lineRule="auto"/>
        <w:jc w:val="both"/>
        <w:rPr>
          <w:rFonts w:ascii="Times New Roman" w:hAnsi="Times New Roman"/>
          <w:b/>
          <w:bCs/>
          <w:sz w:val="24"/>
          <w:szCs w:val="24"/>
        </w:rPr>
      </w:pPr>
      <w:r w:rsidRPr="00570BB5">
        <w:rPr>
          <w:rFonts w:ascii="Times New Roman" w:hAnsi="Times New Roman"/>
          <w:b/>
          <w:bCs/>
          <w:sz w:val="24"/>
          <w:szCs w:val="24"/>
        </w:rPr>
        <w:t>ОСНОВНЫЕ НАПРАВЛЕНИЯ ДЕЯТЕЛЬНОСТИ В 2024 ГОДУ</w:t>
      </w:r>
    </w:p>
    <w:p w:rsidR="003653DF" w:rsidRPr="003653DF" w:rsidRDefault="003653DF"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Деятельность Контрольно-счетной палаты в 2024 году будет направлена на реализацию полномочий по осуществлению внешнего государственного финансового контроля в части эффективности использования средств областного бюджета, правомерности и эффективности использования областного государственного имущества, подготовки предложений по совершенствованию бюджетного процесса и управлению областной собственностью, а также на выявление резервов дополнительных источников доходов консолидированного бюджета Томской области.</w:t>
      </w:r>
    </w:p>
    <w:p w:rsidR="003653DF" w:rsidRDefault="003653DF"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 xml:space="preserve">Традиционными станут мероприятия, проводимые ежегодно, это внешняя проверка и подготовка заключений на отчет об исполнении областного бюджета и бюджета ТФОМС, </w:t>
      </w:r>
      <w:r w:rsidR="00241F1C" w:rsidRPr="003653DF">
        <w:rPr>
          <w:rFonts w:ascii="Times New Roman" w:hAnsi="Times New Roman"/>
          <w:bCs/>
          <w:sz w:val="24"/>
          <w:szCs w:val="24"/>
        </w:rPr>
        <w:t>ежеквартальный оперативный анализ исполнения областного бюджета и бюджета ТФОМС</w:t>
      </w:r>
      <w:r w:rsidR="00241F1C">
        <w:rPr>
          <w:rFonts w:ascii="Times New Roman" w:hAnsi="Times New Roman"/>
          <w:bCs/>
          <w:sz w:val="24"/>
          <w:szCs w:val="24"/>
        </w:rPr>
        <w:t xml:space="preserve">, </w:t>
      </w:r>
      <w:r w:rsidRPr="003653DF">
        <w:rPr>
          <w:rFonts w:ascii="Times New Roman" w:hAnsi="Times New Roman"/>
          <w:bCs/>
          <w:sz w:val="24"/>
          <w:szCs w:val="24"/>
        </w:rPr>
        <w:t xml:space="preserve">а также подготовка заключений на проект закона об областном бюджете на очередной год и плановый период, </w:t>
      </w:r>
      <w:r w:rsidR="004A0A8F">
        <w:rPr>
          <w:rFonts w:ascii="Times New Roman" w:hAnsi="Times New Roman"/>
          <w:bCs/>
          <w:sz w:val="24"/>
          <w:szCs w:val="24"/>
        </w:rPr>
        <w:t xml:space="preserve">на проекты отчетов Администрации Томской области, </w:t>
      </w:r>
      <w:r w:rsidRPr="003653DF">
        <w:rPr>
          <w:rFonts w:ascii="Times New Roman" w:hAnsi="Times New Roman"/>
          <w:bCs/>
          <w:sz w:val="24"/>
          <w:szCs w:val="24"/>
        </w:rPr>
        <w:t>на проект бюджета ТФОМС на очередной год и на проекты нормативных правовых актов Томской области, поступающих в Контрольно-счетную палату.</w:t>
      </w:r>
    </w:p>
    <w:p w:rsidR="003653DF" w:rsidRPr="003653DF" w:rsidRDefault="003653DF"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В ходе аудита будут рассмотрены тематические  вопросы незавершенного строительства; организации перевозки пассажиров ж/д транспортом в пригородном сообщении; расходов бюджета, направленных на содержание НКО; формирования тарифов в системе ОМС Томской области; управления и распоряжения объектами культурного</w:t>
      </w:r>
      <w:bookmarkStart w:id="1" w:name="_GoBack"/>
      <w:bookmarkEnd w:id="1"/>
      <w:r w:rsidRPr="003653DF">
        <w:rPr>
          <w:rFonts w:ascii="Times New Roman" w:hAnsi="Times New Roman"/>
          <w:bCs/>
          <w:sz w:val="24"/>
          <w:szCs w:val="24"/>
        </w:rPr>
        <w:t xml:space="preserve"> наследия; реализации полномочий в сфере обращения ТКО;  капитального ремонта 3-х объектов </w:t>
      </w:r>
      <w:proofErr w:type="spellStart"/>
      <w:r w:rsidRPr="003653DF">
        <w:rPr>
          <w:rFonts w:ascii="Times New Roman" w:hAnsi="Times New Roman"/>
          <w:bCs/>
          <w:sz w:val="24"/>
          <w:szCs w:val="24"/>
        </w:rPr>
        <w:t>соцсферы</w:t>
      </w:r>
      <w:proofErr w:type="spellEnd"/>
      <w:r w:rsidRPr="003653DF">
        <w:rPr>
          <w:rFonts w:ascii="Times New Roman" w:hAnsi="Times New Roman"/>
          <w:bCs/>
          <w:sz w:val="24"/>
          <w:szCs w:val="24"/>
        </w:rPr>
        <w:t xml:space="preserve">; эффективности господдержки субъектов агропромышленного комплекса; деятельности областных учреждений; софинансирования </w:t>
      </w:r>
      <w:proofErr w:type="spellStart"/>
      <w:r w:rsidRPr="003653DF">
        <w:rPr>
          <w:rFonts w:ascii="Times New Roman" w:hAnsi="Times New Roman"/>
          <w:bCs/>
          <w:sz w:val="24"/>
          <w:szCs w:val="24"/>
        </w:rPr>
        <w:t>концедентом</w:t>
      </w:r>
      <w:proofErr w:type="spellEnd"/>
      <w:r w:rsidRPr="003653DF">
        <w:rPr>
          <w:rFonts w:ascii="Times New Roman" w:hAnsi="Times New Roman"/>
          <w:bCs/>
          <w:sz w:val="24"/>
          <w:szCs w:val="24"/>
        </w:rPr>
        <w:t xml:space="preserve"> платы по концессионным соглашениям</w:t>
      </w:r>
      <w:r w:rsidR="00280068">
        <w:rPr>
          <w:rFonts w:ascii="Times New Roman" w:hAnsi="Times New Roman"/>
          <w:bCs/>
          <w:sz w:val="24"/>
          <w:szCs w:val="24"/>
        </w:rPr>
        <w:t xml:space="preserve"> и другие</w:t>
      </w:r>
      <w:r w:rsidRPr="003653DF">
        <w:rPr>
          <w:rFonts w:ascii="Times New Roman" w:hAnsi="Times New Roman"/>
          <w:bCs/>
          <w:sz w:val="24"/>
          <w:szCs w:val="24"/>
        </w:rPr>
        <w:t xml:space="preserve">. </w:t>
      </w:r>
    </w:p>
    <w:p w:rsidR="003653DF" w:rsidRDefault="003653DF" w:rsidP="00990FF3">
      <w:pPr>
        <w:spacing w:after="0" w:line="240" w:lineRule="auto"/>
        <w:jc w:val="both"/>
        <w:rPr>
          <w:rFonts w:ascii="Times New Roman" w:hAnsi="Times New Roman"/>
          <w:bCs/>
          <w:sz w:val="24"/>
          <w:szCs w:val="24"/>
        </w:rPr>
      </w:pPr>
    </w:p>
    <w:p w:rsidR="00990FF3" w:rsidRPr="003653DF" w:rsidRDefault="00990FF3" w:rsidP="00990FF3">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В 2024 году КСП Томской области задекларировано смещение акцентов на проведение экспертно-аналитических мероприятий. На 2024 год в план проверок включено 29 экспертно-аналитических мероприятий (в 2023г. – 18 ЭАМ) и 10 контрольных мероприятий (в 2023 г. – 16). При этом, при увеличении количества</w:t>
      </w:r>
      <w:r w:rsidR="00280068">
        <w:rPr>
          <w:rFonts w:ascii="Times New Roman" w:hAnsi="Times New Roman"/>
          <w:bCs/>
          <w:sz w:val="24"/>
          <w:szCs w:val="24"/>
        </w:rPr>
        <w:t>,</w:t>
      </w:r>
      <w:r w:rsidRPr="003653DF">
        <w:rPr>
          <w:rFonts w:ascii="Times New Roman" w:hAnsi="Times New Roman"/>
          <w:bCs/>
          <w:sz w:val="24"/>
          <w:szCs w:val="24"/>
        </w:rPr>
        <w:t xml:space="preserve"> в целом</w:t>
      </w:r>
      <w:r w:rsidR="00280068">
        <w:rPr>
          <w:rFonts w:ascii="Times New Roman" w:hAnsi="Times New Roman"/>
          <w:bCs/>
          <w:sz w:val="24"/>
          <w:szCs w:val="24"/>
        </w:rPr>
        <w:t>,</w:t>
      </w:r>
      <w:r w:rsidRPr="003653DF">
        <w:rPr>
          <w:rFonts w:ascii="Times New Roman" w:hAnsi="Times New Roman"/>
          <w:bCs/>
          <w:sz w:val="24"/>
          <w:szCs w:val="24"/>
        </w:rPr>
        <w:t xml:space="preserve"> мероприятий на пять единиц в абсолютной сумме снижение количества КМ составляет 6 единиц. Доля КМ в 2024 году составляет 38 % и снизилась на 10 </w:t>
      </w:r>
      <w:proofErr w:type="spellStart"/>
      <w:r w:rsidR="003B372C">
        <w:rPr>
          <w:rFonts w:ascii="Times New Roman" w:hAnsi="Times New Roman"/>
          <w:bCs/>
          <w:sz w:val="24"/>
          <w:szCs w:val="24"/>
        </w:rPr>
        <w:t>п.п</w:t>
      </w:r>
      <w:proofErr w:type="spellEnd"/>
      <w:r w:rsidR="003B372C">
        <w:rPr>
          <w:rFonts w:ascii="Times New Roman" w:hAnsi="Times New Roman"/>
          <w:bCs/>
          <w:sz w:val="24"/>
          <w:szCs w:val="24"/>
        </w:rPr>
        <w:t>.</w:t>
      </w:r>
      <w:r w:rsidRPr="003653DF">
        <w:rPr>
          <w:rFonts w:ascii="Times New Roman" w:hAnsi="Times New Roman"/>
          <w:bCs/>
          <w:sz w:val="24"/>
          <w:szCs w:val="24"/>
        </w:rPr>
        <w:t xml:space="preserve"> (в 2023 г. – 48%), таким образом применен риск-ориентированный подход в контрольной и экспертно-аналитической деятельности направленный на профилактику и устранение нарушений, а не их последствий.</w:t>
      </w:r>
    </w:p>
    <w:p w:rsidR="00990FF3" w:rsidRPr="005F32F0" w:rsidRDefault="00990FF3" w:rsidP="00990FF3">
      <w:pPr>
        <w:spacing w:after="0" w:line="240" w:lineRule="auto"/>
        <w:ind w:firstLine="567"/>
        <w:jc w:val="both"/>
        <w:rPr>
          <w:rFonts w:ascii="Times New Roman" w:hAnsi="Times New Roman"/>
          <w:bCs/>
          <w:sz w:val="24"/>
          <w:szCs w:val="24"/>
        </w:rPr>
      </w:pPr>
      <w:r w:rsidRPr="005F32F0">
        <w:rPr>
          <w:rFonts w:ascii="Times New Roman" w:hAnsi="Times New Roman"/>
          <w:bCs/>
          <w:sz w:val="24"/>
          <w:szCs w:val="24"/>
        </w:rPr>
        <w:t xml:space="preserve">Приоритетное внимание КСП </w:t>
      </w:r>
      <w:r>
        <w:rPr>
          <w:rFonts w:ascii="Times New Roman" w:hAnsi="Times New Roman"/>
          <w:bCs/>
          <w:sz w:val="24"/>
          <w:szCs w:val="24"/>
        </w:rPr>
        <w:t xml:space="preserve">Томской области </w:t>
      </w:r>
      <w:r w:rsidRPr="005F32F0">
        <w:rPr>
          <w:rFonts w:ascii="Times New Roman" w:hAnsi="Times New Roman"/>
          <w:bCs/>
          <w:sz w:val="24"/>
          <w:szCs w:val="24"/>
        </w:rPr>
        <w:t>уделяется укреплению профессионального уровня сотрудников контрольно-счетных органов. В 2024 году продолжится наполнение Образовательной платформы на официальном сайте</w:t>
      </w:r>
      <w:r>
        <w:rPr>
          <w:rFonts w:ascii="Times New Roman" w:hAnsi="Times New Roman"/>
          <w:bCs/>
          <w:sz w:val="24"/>
          <w:szCs w:val="24"/>
        </w:rPr>
        <w:t xml:space="preserve"> Контрольно-счетной палаты</w:t>
      </w:r>
      <w:r w:rsidRPr="005F32F0">
        <w:rPr>
          <w:rFonts w:ascii="Times New Roman" w:hAnsi="Times New Roman"/>
          <w:bCs/>
          <w:sz w:val="24"/>
          <w:szCs w:val="24"/>
        </w:rPr>
        <w:t xml:space="preserve">, предназначенной для самостоятельного профессионального развития сотрудников </w:t>
      </w:r>
      <w:r w:rsidR="00280068">
        <w:rPr>
          <w:rFonts w:ascii="Times New Roman" w:hAnsi="Times New Roman"/>
          <w:bCs/>
          <w:sz w:val="24"/>
          <w:szCs w:val="24"/>
        </w:rPr>
        <w:t>контрольно-счетных органов</w:t>
      </w:r>
      <w:r>
        <w:rPr>
          <w:rFonts w:ascii="Times New Roman" w:hAnsi="Times New Roman"/>
          <w:bCs/>
          <w:sz w:val="24"/>
          <w:szCs w:val="24"/>
        </w:rPr>
        <w:t xml:space="preserve"> области</w:t>
      </w:r>
      <w:r w:rsidRPr="005F32F0">
        <w:rPr>
          <w:rFonts w:ascii="Times New Roman" w:hAnsi="Times New Roman"/>
          <w:bCs/>
          <w:sz w:val="24"/>
          <w:szCs w:val="24"/>
        </w:rPr>
        <w:t>.</w:t>
      </w:r>
    </w:p>
    <w:p w:rsidR="00990FF3" w:rsidRPr="005F32F0" w:rsidRDefault="00990FF3" w:rsidP="00990FF3">
      <w:pPr>
        <w:spacing w:after="0" w:line="240" w:lineRule="auto"/>
        <w:ind w:firstLine="567"/>
        <w:jc w:val="both"/>
        <w:rPr>
          <w:rFonts w:ascii="Times New Roman" w:hAnsi="Times New Roman"/>
          <w:bCs/>
          <w:sz w:val="24"/>
          <w:szCs w:val="24"/>
        </w:rPr>
      </w:pPr>
      <w:r w:rsidRPr="005F32F0">
        <w:rPr>
          <w:rFonts w:ascii="Times New Roman" w:hAnsi="Times New Roman"/>
          <w:bCs/>
          <w:sz w:val="24"/>
          <w:szCs w:val="24"/>
        </w:rPr>
        <w:t xml:space="preserve">В отчетном году проводилось развитие ИТ-инструментов, которое также будет </w:t>
      </w:r>
      <w:r>
        <w:rPr>
          <w:rFonts w:ascii="Times New Roman" w:hAnsi="Times New Roman"/>
          <w:bCs/>
          <w:sz w:val="24"/>
          <w:szCs w:val="24"/>
        </w:rPr>
        <w:t>продолжено</w:t>
      </w:r>
      <w:r w:rsidRPr="005F32F0">
        <w:rPr>
          <w:rFonts w:ascii="Times New Roman" w:hAnsi="Times New Roman"/>
          <w:bCs/>
          <w:sz w:val="24"/>
          <w:szCs w:val="24"/>
        </w:rPr>
        <w:t xml:space="preserve"> через реализацию механизма мониторинга исполнения рекомендаций по итогам мероприятий. В 2024 году предусмотрен новый формат взаимодействия с МКСО Томской области, в формате реальной поддержки: правовая</w:t>
      </w:r>
      <w:r>
        <w:rPr>
          <w:rFonts w:ascii="Times New Roman" w:hAnsi="Times New Roman"/>
          <w:bCs/>
          <w:sz w:val="24"/>
          <w:szCs w:val="24"/>
        </w:rPr>
        <w:t xml:space="preserve"> и консультационная</w:t>
      </w:r>
      <w:r w:rsidRPr="005F32F0">
        <w:rPr>
          <w:rFonts w:ascii="Times New Roman" w:hAnsi="Times New Roman"/>
          <w:bCs/>
          <w:sz w:val="24"/>
          <w:szCs w:val="24"/>
        </w:rPr>
        <w:t xml:space="preserve"> поддержка, создание на сайте КСП Т</w:t>
      </w:r>
      <w:r>
        <w:rPr>
          <w:rFonts w:ascii="Times New Roman" w:hAnsi="Times New Roman"/>
          <w:bCs/>
          <w:sz w:val="24"/>
          <w:szCs w:val="24"/>
        </w:rPr>
        <w:t>омской области</w:t>
      </w:r>
      <w:r w:rsidRPr="005F32F0">
        <w:rPr>
          <w:rFonts w:ascii="Times New Roman" w:hAnsi="Times New Roman"/>
          <w:bCs/>
          <w:sz w:val="24"/>
          <w:szCs w:val="24"/>
        </w:rPr>
        <w:t xml:space="preserve"> </w:t>
      </w:r>
      <w:r>
        <w:rPr>
          <w:rFonts w:ascii="Times New Roman" w:hAnsi="Times New Roman"/>
          <w:bCs/>
          <w:sz w:val="24"/>
          <w:szCs w:val="24"/>
        </w:rPr>
        <w:t>О</w:t>
      </w:r>
      <w:r w:rsidRPr="005F32F0">
        <w:rPr>
          <w:rFonts w:ascii="Times New Roman" w:hAnsi="Times New Roman"/>
          <w:bCs/>
          <w:sz w:val="24"/>
          <w:szCs w:val="24"/>
        </w:rPr>
        <w:t>бразовательной платформы, проведение на постоянной основе 1-2 раза в квартал семинаров и т.п.</w:t>
      </w:r>
      <w:r>
        <w:rPr>
          <w:rFonts w:ascii="Times New Roman" w:hAnsi="Times New Roman"/>
          <w:bCs/>
          <w:sz w:val="24"/>
          <w:szCs w:val="24"/>
        </w:rPr>
        <w:t xml:space="preserve"> с целью повышения профессиональных компетенций.</w:t>
      </w:r>
    </w:p>
    <w:p w:rsidR="00990FF3" w:rsidRDefault="00990FF3" w:rsidP="00990FF3">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 2024 году планируется изменение формата подготовки </w:t>
      </w:r>
      <w:r w:rsidRPr="005F32F0">
        <w:rPr>
          <w:rFonts w:ascii="Times New Roman" w:hAnsi="Times New Roman"/>
          <w:bCs/>
          <w:sz w:val="24"/>
          <w:szCs w:val="24"/>
        </w:rPr>
        <w:t>ежеквартально</w:t>
      </w:r>
      <w:r>
        <w:rPr>
          <w:rFonts w:ascii="Times New Roman" w:hAnsi="Times New Roman"/>
          <w:bCs/>
          <w:sz w:val="24"/>
          <w:szCs w:val="24"/>
        </w:rPr>
        <w:t>го</w:t>
      </w:r>
      <w:r w:rsidRPr="005F32F0">
        <w:rPr>
          <w:rFonts w:ascii="Times New Roman" w:hAnsi="Times New Roman"/>
          <w:bCs/>
          <w:sz w:val="24"/>
          <w:szCs w:val="24"/>
        </w:rPr>
        <w:t xml:space="preserve"> </w:t>
      </w:r>
      <w:r>
        <w:rPr>
          <w:rFonts w:ascii="Times New Roman" w:hAnsi="Times New Roman"/>
          <w:bCs/>
          <w:sz w:val="24"/>
          <w:szCs w:val="24"/>
        </w:rPr>
        <w:t>официального издания «Бюллетень</w:t>
      </w:r>
      <w:r w:rsidRPr="005F32F0">
        <w:rPr>
          <w:rFonts w:ascii="Times New Roman" w:hAnsi="Times New Roman"/>
          <w:bCs/>
          <w:sz w:val="24"/>
          <w:szCs w:val="24"/>
        </w:rPr>
        <w:t xml:space="preserve"> КСП Томской области</w:t>
      </w:r>
      <w:r>
        <w:rPr>
          <w:rFonts w:ascii="Times New Roman" w:hAnsi="Times New Roman"/>
          <w:bCs/>
          <w:sz w:val="24"/>
          <w:szCs w:val="24"/>
        </w:rPr>
        <w:t>» с бумажного на электронную форму, а также изменение его содержания с публикации тематических отчетов на обобщающие материалы с аналитическими выкладками результативности принятых мер по итогам каждого мероприятия.</w:t>
      </w:r>
    </w:p>
    <w:p w:rsidR="00990FF3" w:rsidRPr="003653DF" w:rsidRDefault="00990FF3" w:rsidP="00990FF3">
      <w:pPr>
        <w:spacing w:after="0" w:line="240" w:lineRule="auto"/>
        <w:jc w:val="both"/>
        <w:rPr>
          <w:rFonts w:ascii="Times New Roman" w:hAnsi="Times New Roman"/>
          <w:bCs/>
          <w:sz w:val="24"/>
          <w:szCs w:val="24"/>
        </w:rPr>
      </w:pPr>
    </w:p>
    <w:p w:rsidR="003653DF" w:rsidRPr="003653DF" w:rsidRDefault="003653DF"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ВЗАИМОДЕЙСТВИЕ СО СЧЕТНОЙ ПАЛАТОЙ РФ будет развиваться, в том числе путем проведения параллельного ЭАМ «Аудит бюджетных процессов и деятельности государственных и муниципальных заказчиков, направленной на закупку работ (услуг) за счет субсидий на софинансирование капитальных вложений в объекты государственной собственности субъектов РФ (муниципальной собственности) в период с января 2022  по май 2024 гг. (Федеральный закон № 44-ФЗ)», целью которого является оценка соответствия деятельности государственных и муниципальных органов власти, а также государственных заказчиков субъектов РФ и муниципальных заказчиков при планировании и осуществлении закупок за счет софинансирования капитальных вложений из федерального бюджета бюджетному законодательству РФ и законодательству РФ о контрактной системе в сфере закупок по 20 объектам капитальных вложений.</w:t>
      </w:r>
    </w:p>
    <w:p w:rsidR="003653DF" w:rsidRPr="003653DF" w:rsidRDefault="003653DF"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 xml:space="preserve">Также запланировано со Счетной палатой России параллельное КМ «Проверка достижения запланированных результатов и показателей федеральных (региональных) проектов НП «Безопасные качественные дороги» в 2020-2023 годах, объем финансирования НП на 2020-2023 гг. </w:t>
      </w:r>
      <w:r w:rsidR="00570BB5" w:rsidRPr="003653DF">
        <w:rPr>
          <w:rFonts w:ascii="Times New Roman" w:hAnsi="Times New Roman"/>
          <w:bCs/>
          <w:sz w:val="24"/>
          <w:szCs w:val="24"/>
        </w:rPr>
        <w:t>составил 20</w:t>
      </w:r>
      <w:r w:rsidRPr="003653DF">
        <w:rPr>
          <w:rFonts w:ascii="Times New Roman" w:hAnsi="Times New Roman"/>
          <w:bCs/>
          <w:sz w:val="24"/>
          <w:szCs w:val="24"/>
        </w:rPr>
        <w:t xml:space="preserve"> 968,3 млн. руб., из них: ФБ -7 299,9 млн.руб., ОБ - 13 668,4 млн.руб.</w:t>
      </w:r>
    </w:p>
    <w:p w:rsidR="003653DF" w:rsidRPr="003653DF" w:rsidRDefault="003653DF" w:rsidP="009D76C5">
      <w:pPr>
        <w:spacing w:after="0" w:line="240" w:lineRule="auto"/>
        <w:jc w:val="both"/>
        <w:rPr>
          <w:rFonts w:ascii="Times New Roman" w:hAnsi="Times New Roman"/>
          <w:bCs/>
          <w:sz w:val="24"/>
          <w:szCs w:val="24"/>
        </w:rPr>
      </w:pPr>
    </w:p>
    <w:p w:rsidR="003653DF" w:rsidRPr="003653DF" w:rsidRDefault="003653DF"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Впервые в 2024 году внедрена практика проведения параллельных ЭАМ с</w:t>
      </w:r>
      <w:r w:rsidR="004A0A8F">
        <w:rPr>
          <w:rFonts w:ascii="Times New Roman" w:hAnsi="Times New Roman"/>
          <w:bCs/>
          <w:sz w:val="24"/>
          <w:szCs w:val="24"/>
        </w:rPr>
        <w:t>о всеми муниципальными КСО.</w:t>
      </w:r>
    </w:p>
    <w:p w:rsidR="003653DF" w:rsidRPr="003653DF" w:rsidRDefault="00570BB5"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Так, со</w:t>
      </w:r>
      <w:r w:rsidR="003653DF" w:rsidRPr="003653DF">
        <w:rPr>
          <w:rFonts w:ascii="Times New Roman" w:hAnsi="Times New Roman"/>
          <w:bCs/>
          <w:sz w:val="24"/>
          <w:szCs w:val="24"/>
        </w:rPr>
        <w:t xml:space="preserve"> Счетной палатой Города Томска запланировано параллельное ЭАМ по оценке эффективности управления и распоряжения объектами недвижимого имущества государственной собственности, в том числе объектами культурного наследия федерал</w:t>
      </w:r>
      <w:r w:rsidR="004A0A8F">
        <w:rPr>
          <w:rFonts w:ascii="Times New Roman" w:hAnsi="Times New Roman"/>
          <w:bCs/>
          <w:sz w:val="24"/>
          <w:szCs w:val="24"/>
        </w:rPr>
        <w:t>ьного и регионального значения.</w:t>
      </w:r>
    </w:p>
    <w:p w:rsidR="003653DF" w:rsidRPr="003653DF" w:rsidRDefault="003653DF"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 xml:space="preserve">Кроме того, параллельно со всеми МКСО Томской области будет проведено ЭАМ «Экспертиза решений ОМСУ об установлении ставок налога на имущество </w:t>
      </w:r>
      <w:r w:rsidR="00AE7953">
        <w:rPr>
          <w:rFonts w:ascii="Times New Roman" w:hAnsi="Times New Roman"/>
          <w:bCs/>
          <w:sz w:val="24"/>
          <w:szCs w:val="24"/>
        </w:rPr>
        <w:t>физических лиц</w:t>
      </w:r>
      <w:r w:rsidRPr="003653DF">
        <w:rPr>
          <w:rFonts w:ascii="Times New Roman" w:hAnsi="Times New Roman"/>
          <w:bCs/>
          <w:sz w:val="24"/>
          <w:szCs w:val="24"/>
        </w:rPr>
        <w:t xml:space="preserve">. Мониторинг незарегистрированных объектов капитального строительства», целью которого </w:t>
      </w:r>
      <w:r w:rsidR="004A0A8F" w:rsidRPr="003653DF">
        <w:rPr>
          <w:rFonts w:ascii="Times New Roman" w:hAnsi="Times New Roman"/>
          <w:bCs/>
          <w:sz w:val="24"/>
          <w:szCs w:val="24"/>
        </w:rPr>
        <w:t>является оценка</w:t>
      </w:r>
      <w:r w:rsidRPr="003653DF">
        <w:rPr>
          <w:rFonts w:ascii="Times New Roman" w:hAnsi="Times New Roman"/>
          <w:bCs/>
          <w:sz w:val="24"/>
          <w:szCs w:val="24"/>
        </w:rPr>
        <w:t xml:space="preserve"> резервов </w:t>
      </w:r>
      <w:r w:rsidR="004A0A8F" w:rsidRPr="003653DF">
        <w:rPr>
          <w:rFonts w:ascii="Times New Roman" w:hAnsi="Times New Roman"/>
          <w:bCs/>
          <w:sz w:val="24"/>
          <w:szCs w:val="24"/>
        </w:rPr>
        <w:t>доходов консолидированного</w:t>
      </w:r>
      <w:r w:rsidRPr="003653DF">
        <w:rPr>
          <w:rFonts w:ascii="Times New Roman" w:hAnsi="Times New Roman"/>
          <w:bCs/>
          <w:sz w:val="24"/>
          <w:szCs w:val="24"/>
        </w:rPr>
        <w:t xml:space="preserve"> бюджета Томской области, в том числе через отмену регрессивных ставок налога и </w:t>
      </w:r>
      <w:r w:rsidR="004A0A8F" w:rsidRPr="003653DF">
        <w:rPr>
          <w:rFonts w:ascii="Times New Roman" w:hAnsi="Times New Roman"/>
          <w:bCs/>
          <w:sz w:val="24"/>
          <w:szCs w:val="24"/>
        </w:rPr>
        <w:t>отмену пониженных</w:t>
      </w:r>
      <w:r w:rsidRPr="003653DF">
        <w:rPr>
          <w:rFonts w:ascii="Times New Roman" w:hAnsi="Times New Roman"/>
          <w:bCs/>
          <w:sz w:val="24"/>
          <w:szCs w:val="24"/>
        </w:rPr>
        <w:t xml:space="preserve"> ставок для владельцев коммерческой недвижимости, выявления правообладателей ранее </w:t>
      </w:r>
      <w:r w:rsidR="004A0A8F" w:rsidRPr="003653DF">
        <w:rPr>
          <w:rFonts w:ascii="Times New Roman" w:hAnsi="Times New Roman"/>
          <w:bCs/>
          <w:sz w:val="24"/>
          <w:szCs w:val="24"/>
        </w:rPr>
        <w:t>учтенных объектов</w:t>
      </w:r>
      <w:r w:rsidRPr="003653DF">
        <w:rPr>
          <w:rFonts w:ascii="Times New Roman" w:hAnsi="Times New Roman"/>
          <w:bCs/>
          <w:sz w:val="24"/>
          <w:szCs w:val="24"/>
        </w:rPr>
        <w:t xml:space="preserve"> недвижимости.</w:t>
      </w:r>
    </w:p>
    <w:p w:rsidR="003653DF" w:rsidRPr="003653DF" w:rsidRDefault="003653DF"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В связи с изменением поставленных задач, КСП Томской области не реализована запланированная на 2023 год разработка Стратегии развития Контрольно-счетной палаты на период 2024-2028 годы.</w:t>
      </w:r>
    </w:p>
    <w:p w:rsidR="003653DF" w:rsidRPr="003653DF" w:rsidRDefault="003653DF" w:rsidP="009D76C5">
      <w:pPr>
        <w:spacing w:after="0" w:line="240" w:lineRule="auto"/>
        <w:jc w:val="both"/>
        <w:rPr>
          <w:rFonts w:ascii="Times New Roman" w:hAnsi="Times New Roman"/>
          <w:bCs/>
          <w:sz w:val="24"/>
          <w:szCs w:val="24"/>
        </w:rPr>
      </w:pPr>
    </w:p>
    <w:p w:rsidR="003653DF" w:rsidRPr="00570BB5" w:rsidRDefault="003653DF" w:rsidP="009D76C5">
      <w:pPr>
        <w:spacing w:after="0" w:line="240" w:lineRule="auto"/>
        <w:jc w:val="both"/>
        <w:rPr>
          <w:rFonts w:ascii="Times New Roman" w:hAnsi="Times New Roman"/>
          <w:b/>
          <w:bCs/>
          <w:sz w:val="24"/>
          <w:szCs w:val="24"/>
        </w:rPr>
      </w:pPr>
      <w:r w:rsidRPr="00570BB5">
        <w:rPr>
          <w:rFonts w:ascii="Times New Roman" w:hAnsi="Times New Roman"/>
          <w:b/>
          <w:bCs/>
          <w:sz w:val="24"/>
          <w:szCs w:val="24"/>
        </w:rPr>
        <w:t>Общесистемные направления развития Контрольно-счетной палаты</w:t>
      </w:r>
    </w:p>
    <w:p w:rsidR="003653DF" w:rsidRPr="003653DF" w:rsidRDefault="004A0A8F" w:rsidP="009D76C5">
      <w:pPr>
        <w:tabs>
          <w:tab w:val="num" w:pos="0"/>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1. </w:t>
      </w:r>
      <w:r w:rsidR="003653DF" w:rsidRPr="003653DF">
        <w:rPr>
          <w:rFonts w:ascii="Times New Roman" w:hAnsi="Times New Roman"/>
          <w:bCs/>
          <w:sz w:val="24"/>
          <w:szCs w:val="24"/>
        </w:rPr>
        <w:t>Развитие методологии внешнего государственного</w:t>
      </w:r>
      <w:r>
        <w:rPr>
          <w:rFonts w:ascii="Times New Roman" w:hAnsi="Times New Roman"/>
          <w:bCs/>
          <w:sz w:val="24"/>
          <w:szCs w:val="24"/>
        </w:rPr>
        <w:t xml:space="preserve"> финансового контроля</w:t>
      </w:r>
      <w:r w:rsidR="003653DF" w:rsidRPr="003653DF">
        <w:rPr>
          <w:rFonts w:ascii="Times New Roman" w:hAnsi="Times New Roman"/>
          <w:bCs/>
          <w:sz w:val="24"/>
          <w:szCs w:val="24"/>
        </w:rPr>
        <w:t>.</w:t>
      </w:r>
    </w:p>
    <w:p w:rsidR="003653DF" w:rsidRPr="003653DF" w:rsidRDefault="004A0A8F" w:rsidP="009D76C5">
      <w:pPr>
        <w:tabs>
          <w:tab w:val="num" w:pos="0"/>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2. </w:t>
      </w:r>
      <w:r w:rsidR="003653DF" w:rsidRPr="003653DF">
        <w:rPr>
          <w:rFonts w:ascii="Times New Roman" w:hAnsi="Times New Roman"/>
          <w:bCs/>
          <w:sz w:val="24"/>
          <w:szCs w:val="24"/>
        </w:rPr>
        <w:t>Проведение аудита эффективности и стратегического аудита с опорой на аналитическую функцию.</w:t>
      </w:r>
    </w:p>
    <w:p w:rsidR="003653DF" w:rsidRPr="003653DF" w:rsidRDefault="004A0A8F" w:rsidP="009D76C5">
      <w:pPr>
        <w:tabs>
          <w:tab w:val="num" w:pos="0"/>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3. </w:t>
      </w:r>
      <w:r w:rsidR="003653DF" w:rsidRPr="003653DF">
        <w:rPr>
          <w:rFonts w:ascii="Times New Roman" w:hAnsi="Times New Roman"/>
          <w:bCs/>
          <w:sz w:val="24"/>
          <w:szCs w:val="24"/>
        </w:rPr>
        <w:t>Применение риск-ориентированного подхода при планировании и проведении контрольных и экспертно-аналитических мероприятий.</w:t>
      </w:r>
    </w:p>
    <w:p w:rsidR="003653DF" w:rsidRPr="003653DF" w:rsidRDefault="004A0A8F" w:rsidP="009D76C5">
      <w:pPr>
        <w:tabs>
          <w:tab w:val="num" w:pos="0"/>
        </w:tabs>
        <w:spacing w:after="0" w:line="240" w:lineRule="auto"/>
        <w:ind w:firstLine="284"/>
        <w:jc w:val="both"/>
        <w:rPr>
          <w:rFonts w:ascii="Times New Roman" w:hAnsi="Times New Roman"/>
          <w:bCs/>
          <w:sz w:val="24"/>
          <w:szCs w:val="24"/>
        </w:rPr>
      </w:pPr>
      <w:r>
        <w:rPr>
          <w:rFonts w:ascii="Times New Roman" w:hAnsi="Times New Roman"/>
          <w:bCs/>
          <w:sz w:val="24"/>
          <w:szCs w:val="24"/>
        </w:rPr>
        <w:t>4. П</w:t>
      </w:r>
      <w:r w:rsidR="003653DF" w:rsidRPr="003653DF">
        <w:rPr>
          <w:rFonts w:ascii="Times New Roman" w:hAnsi="Times New Roman"/>
          <w:bCs/>
          <w:sz w:val="24"/>
          <w:szCs w:val="24"/>
        </w:rPr>
        <w:t>ланирования мероприятий с учетом общественных потребностей.</w:t>
      </w:r>
    </w:p>
    <w:p w:rsidR="003653DF" w:rsidRPr="003653DF" w:rsidRDefault="004A0A8F" w:rsidP="009D76C5">
      <w:pPr>
        <w:tabs>
          <w:tab w:val="num" w:pos="0"/>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5. </w:t>
      </w:r>
      <w:r w:rsidR="003653DF" w:rsidRPr="003653DF">
        <w:rPr>
          <w:rFonts w:ascii="Times New Roman" w:hAnsi="Times New Roman"/>
          <w:bCs/>
          <w:sz w:val="24"/>
          <w:szCs w:val="24"/>
        </w:rPr>
        <w:t>Развитие прикладных методов для обеспечения функции внешнего государственного финансового контроля на основе аналитических разработок.</w:t>
      </w:r>
    </w:p>
    <w:p w:rsidR="003653DF" w:rsidRPr="003653DF" w:rsidRDefault="004A0A8F" w:rsidP="009D76C5">
      <w:pPr>
        <w:tabs>
          <w:tab w:val="num" w:pos="0"/>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6. </w:t>
      </w:r>
      <w:r w:rsidR="003653DF" w:rsidRPr="003653DF">
        <w:rPr>
          <w:rFonts w:ascii="Times New Roman" w:hAnsi="Times New Roman"/>
          <w:bCs/>
          <w:sz w:val="24"/>
          <w:szCs w:val="24"/>
        </w:rPr>
        <w:t>Обмен передовыми практиками через существующий Совет КСО Томской области для распространения опыта работы муниципальным контрольно-счетным органам.</w:t>
      </w:r>
    </w:p>
    <w:p w:rsidR="003653DF" w:rsidRPr="003653DF" w:rsidRDefault="004A0A8F" w:rsidP="009D76C5">
      <w:pPr>
        <w:tabs>
          <w:tab w:val="num" w:pos="0"/>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7. </w:t>
      </w:r>
      <w:r w:rsidR="003653DF" w:rsidRPr="003653DF">
        <w:rPr>
          <w:rFonts w:ascii="Times New Roman" w:hAnsi="Times New Roman"/>
          <w:bCs/>
          <w:sz w:val="24"/>
          <w:szCs w:val="24"/>
        </w:rPr>
        <w:t xml:space="preserve">Активное участие в </w:t>
      </w:r>
      <w:r>
        <w:rPr>
          <w:rFonts w:ascii="Times New Roman" w:hAnsi="Times New Roman"/>
          <w:bCs/>
          <w:sz w:val="24"/>
          <w:szCs w:val="24"/>
        </w:rPr>
        <w:t xml:space="preserve">работе </w:t>
      </w:r>
      <w:r w:rsidR="003653DF" w:rsidRPr="003653DF">
        <w:rPr>
          <w:rFonts w:ascii="Times New Roman" w:hAnsi="Times New Roman"/>
          <w:bCs/>
          <w:sz w:val="24"/>
          <w:szCs w:val="24"/>
        </w:rPr>
        <w:t xml:space="preserve">Совете </w:t>
      </w:r>
      <w:r w:rsidRPr="003653DF">
        <w:rPr>
          <w:rFonts w:ascii="Times New Roman" w:hAnsi="Times New Roman"/>
          <w:bCs/>
          <w:sz w:val="24"/>
          <w:szCs w:val="24"/>
        </w:rPr>
        <w:t xml:space="preserve">контрольно-счетных органов </w:t>
      </w:r>
      <w:r>
        <w:rPr>
          <w:rFonts w:ascii="Times New Roman" w:hAnsi="Times New Roman"/>
          <w:bCs/>
          <w:sz w:val="24"/>
          <w:szCs w:val="24"/>
        </w:rPr>
        <w:t xml:space="preserve">при Счетной палате РФ, в </w:t>
      </w:r>
      <w:proofErr w:type="spellStart"/>
      <w:r>
        <w:rPr>
          <w:rFonts w:ascii="Times New Roman" w:hAnsi="Times New Roman"/>
          <w:bCs/>
          <w:sz w:val="24"/>
          <w:szCs w:val="24"/>
        </w:rPr>
        <w:t>т.ч</w:t>
      </w:r>
      <w:proofErr w:type="spellEnd"/>
      <w:r>
        <w:rPr>
          <w:rFonts w:ascii="Times New Roman" w:hAnsi="Times New Roman"/>
          <w:bCs/>
          <w:sz w:val="24"/>
          <w:szCs w:val="24"/>
        </w:rPr>
        <w:t>.</w:t>
      </w:r>
      <w:r w:rsidR="003653DF" w:rsidRPr="003653DF">
        <w:rPr>
          <w:rFonts w:ascii="Times New Roman" w:hAnsi="Times New Roman"/>
          <w:bCs/>
          <w:sz w:val="24"/>
          <w:szCs w:val="24"/>
        </w:rPr>
        <w:t xml:space="preserve"> путем обмена передовыми практиками и опытом внешнего государственного финансового контроля</w:t>
      </w:r>
      <w:r>
        <w:rPr>
          <w:rFonts w:ascii="Times New Roman" w:hAnsi="Times New Roman"/>
          <w:bCs/>
          <w:sz w:val="24"/>
          <w:szCs w:val="24"/>
        </w:rPr>
        <w:t>, а также участием в комиссиях и рабочих группах.</w:t>
      </w:r>
    </w:p>
    <w:p w:rsidR="003653DF" w:rsidRPr="003653DF" w:rsidRDefault="004A0A8F" w:rsidP="009D76C5">
      <w:pPr>
        <w:tabs>
          <w:tab w:val="num" w:pos="0"/>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8. </w:t>
      </w:r>
      <w:r w:rsidR="003653DF" w:rsidRPr="003653DF">
        <w:rPr>
          <w:rFonts w:ascii="Times New Roman" w:hAnsi="Times New Roman"/>
          <w:bCs/>
          <w:sz w:val="24"/>
          <w:szCs w:val="24"/>
        </w:rPr>
        <w:t>Развитие внутренней системы управления, кадрового обеспечения и организационной культуры Контрольно-счетной палаты.</w:t>
      </w:r>
    </w:p>
    <w:p w:rsidR="003653DF" w:rsidRPr="003653DF" w:rsidRDefault="004A0A8F" w:rsidP="009D76C5">
      <w:pPr>
        <w:tabs>
          <w:tab w:val="num" w:pos="0"/>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9. </w:t>
      </w:r>
      <w:r w:rsidR="003653DF" w:rsidRPr="003653DF">
        <w:rPr>
          <w:rFonts w:ascii="Times New Roman" w:hAnsi="Times New Roman"/>
          <w:bCs/>
          <w:sz w:val="24"/>
          <w:szCs w:val="24"/>
        </w:rPr>
        <w:t xml:space="preserve">Акцентирование приоритетного внимания на развитии компетенций сотрудников и создании условий труда, которые позволяют в полной мере раскрыть потенциал каждого. </w:t>
      </w:r>
    </w:p>
    <w:p w:rsidR="003653DF" w:rsidRPr="003653DF" w:rsidRDefault="004A0A8F" w:rsidP="009D76C5">
      <w:pPr>
        <w:tabs>
          <w:tab w:val="num" w:pos="0"/>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10. </w:t>
      </w:r>
      <w:r w:rsidR="003653DF" w:rsidRPr="003653DF">
        <w:rPr>
          <w:rFonts w:ascii="Times New Roman" w:hAnsi="Times New Roman"/>
          <w:bCs/>
          <w:sz w:val="24"/>
          <w:szCs w:val="24"/>
        </w:rPr>
        <w:t xml:space="preserve">Активное использование современных форм и методов повышения уровня профессиональной квалификации сотрудников, таких как видеоконференцсвязь, </w:t>
      </w:r>
      <w:proofErr w:type="spellStart"/>
      <w:r w:rsidR="003653DF" w:rsidRPr="003653DF">
        <w:rPr>
          <w:rFonts w:ascii="Times New Roman" w:hAnsi="Times New Roman"/>
          <w:bCs/>
          <w:sz w:val="24"/>
          <w:szCs w:val="24"/>
        </w:rPr>
        <w:t>вебинары</w:t>
      </w:r>
      <w:proofErr w:type="spellEnd"/>
      <w:r w:rsidR="003653DF" w:rsidRPr="003653DF">
        <w:rPr>
          <w:rFonts w:ascii="Times New Roman" w:hAnsi="Times New Roman"/>
          <w:bCs/>
          <w:sz w:val="24"/>
          <w:szCs w:val="24"/>
        </w:rPr>
        <w:t>, семинары, изучение опыта работы и стажировки в других контрольно-счетных органах (как региональных, так и муниципальных образований).</w:t>
      </w:r>
    </w:p>
    <w:p w:rsidR="003653DF" w:rsidRPr="003653DF" w:rsidRDefault="004A0A8F" w:rsidP="009D76C5">
      <w:pPr>
        <w:tabs>
          <w:tab w:val="num" w:pos="0"/>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11. </w:t>
      </w:r>
      <w:r w:rsidR="003653DF" w:rsidRPr="003653DF">
        <w:rPr>
          <w:rFonts w:ascii="Times New Roman" w:hAnsi="Times New Roman"/>
          <w:bCs/>
          <w:sz w:val="24"/>
          <w:szCs w:val="24"/>
        </w:rPr>
        <w:t xml:space="preserve">Проработка в коллективе и адаптация для применения в практической деятельности материалов Счетной палаты </w:t>
      </w:r>
      <w:r>
        <w:rPr>
          <w:rFonts w:ascii="Times New Roman" w:hAnsi="Times New Roman"/>
          <w:bCs/>
          <w:sz w:val="24"/>
          <w:szCs w:val="24"/>
        </w:rPr>
        <w:t>РФ</w:t>
      </w:r>
      <w:r w:rsidR="003653DF" w:rsidRPr="003653DF">
        <w:rPr>
          <w:rFonts w:ascii="Times New Roman" w:hAnsi="Times New Roman"/>
          <w:bCs/>
          <w:sz w:val="24"/>
          <w:szCs w:val="24"/>
        </w:rPr>
        <w:t xml:space="preserve">, Совета контрольно-счетных органов при Счетной палате </w:t>
      </w:r>
      <w:r>
        <w:rPr>
          <w:rFonts w:ascii="Times New Roman" w:hAnsi="Times New Roman"/>
          <w:bCs/>
          <w:sz w:val="24"/>
          <w:szCs w:val="24"/>
        </w:rPr>
        <w:t>РФ</w:t>
      </w:r>
      <w:r w:rsidR="003653DF" w:rsidRPr="003653DF">
        <w:rPr>
          <w:rFonts w:ascii="Times New Roman" w:hAnsi="Times New Roman"/>
          <w:bCs/>
          <w:sz w:val="24"/>
          <w:szCs w:val="24"/>
        </w:rPr>
        <w:t xml:space="preserve">, Союза муниципальных контрольно-счетных органов, касающихся вопросов осуществления контрольной и экспертно-аналитической деятельности. </w:t>
      </w:r>
    </w:p>
    <w:p w:rsidR="003653DF" w:rsidRPr="003653DF" w:rsidRDefault="004A0A8F" w:rsidP="009D76C5">
      <w:pPr>
        <w:tabs>
          <w:tab w:val="num" w:pos="0"/>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12. </w:t>
      </w:r>
      <w:r w:rsidR="003653DF" w:rsidRPr="003653DF">
        <w:rPr>
          <w:rFonts w:ascii="Times New Roman" w:hAnsi="Times New Roman"/>
          <w:bCs/>
          <w:sz w:val="24"/>
          <w:szCs w:val="24"/>
        </w:rPr>
        <w:t xml:space="preserve">Регулярное участие сотрудников Контрольно-счетной палаты в конкурсах профессионального мастерства, проводимых Советом контрольно-счетных органов при Счетной палате </w:t>
      </w:r>
      <w:r>
        <w:rPr>
          <w:rFonts w:ascii="Times New Roman" w:hAnsi="Times New Roman"/>
          <w:bCs/>
          <w:sz w:val="24"/>
          <w:szCs w:val="24"/>
        </w:rPr>
        <w:t>РФ</w:t>
      </w:r>
      <w:r w:rsidR="003653DF" w:rsidRPr="003653DF">
        <w:rPr>
          <w:rFonts w:ascii="Times New Roman" w:hAnsi="Times New Roman"/>
          <w:bCs/>
          <w:sz w:val="24"/>
          <w:szCs w:val="24"/>
        </w:rPr>
        <w:t xml:space="preserve"> и другими организациями (в том числе для повышения репутации Контрольно-счетной палаты).</w:t>
      </w:r>
    </w:p>
    <w:p w:rsidR="003653DF" w:rsidRPr="003653DF" w:rsidRDefault="004A0A8F" w:rsidP="009D76C5">
      <w:pPr>
        <w:tabs>
          <w:tab w:val="num" w:pos="0"/>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13. </w:t>
      </w:r>
      <w:r w:rsidR="003653DF" w:rsidRPr="003653DF">
        <w:rPr>
          <w:rFonts w:ascii="Times New Roman" w:hAnsi="Times New Roman"/>
          <w:bCs/>
          <w:sz w:val="24"/>
          <w:szCs w:val="24"/>
        </w:rPr>
        <w:t xml:space="preserve">Создание внутренней системы управления знаниями для выявления и распространения лучших практик и наработок по вопросам внешнего государственного финансового контроля.  </w:t>
      </w:r>
    </w:p>
    <w:p w:rsidR="003653DF" w:rsidRPr="003653DF" w:rsidRDefault="004A0A8F" w:rsidP="009D76C5">
      <w:pPr>
        <w:tabs>
          <w:tab w:val="num" w:pos="0"/>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14. </w:t>
      </w:r>
      <w:r w:rsidR="003653DF" w:rsidRPr="003653DF">
        <w:rPr>
          <w:rFonts w:ascii="Times New Roman" w:hAnsi="Times New Roman"/>
          <w:bCs/>
          <w:sz w:val="24"/>
          <w:szCs w:val="24"/>
        </w:rPr>
        <w:t>Внедрение и развитие современных цифровых технологий внешнего государственного финансового контроля.</w:t>
      </w:r>
    </w:p>
    <w:p w:rsidR="003653DF" w:rsidRPr="003653DF" w:rsidRDefault="004A0A8F" w:rsidP="009D76C5">
      <w:pPr>
        <w:tabs>
          <w:tab w:val="num" w:pos="0"/>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15. </w:t>
      </w:r>
      <w:r w:rsidR="003653DF" w:rsidRPr="003653DF">
        <w:rPr>
          <w:rFonts w:ascii="Times New Roman" w:hAnsi="Times New Roman"/>
          <w:bCs/>
          <w:sz w:val="24"/>
          <w:szCs w:val="24"/>
        </w:rPr>
        <w:t>Цифровая трансформация процессов операционной деятельности Контрольно-счетной палаты:</w:t>
      </w:r>
    </w:p>
    <w:p w:rsidR="003653DF" w:rsidRPr="003653DF" w:rsidRDefault="003653DF"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 xml:space="preserve">- максимальная автоматизация деятельности Контрольно-счетной палаты, в том числе создание собственного модуля финансового контроля, интегрированного в информационные системы (базы данных); </w:t>
      </w:r>
    </w:p>
    <w:p w:rsidR="003653DF" w:rsidRPr="003653DF" w:rsidRDefault="003653DF" w:rsidP="009D76C5">
      <w:pPr>
        <w:spacing w:after="0" w:line="240" w:lineRule="auto"/>
        <w:ind w:firstLine="567"/>
        <w:jc w:val="both"/>
        <w:rPr>
          <w:rFonts w:ascii="Times New Roman" w:hAnsi="Times New Roman"/>
          <w:bCs/>
          <w:sz w:val="24"/>
          <w:szCs w:val="24"/>
        </w:rPr>
      </w:pPr>
      <w:r w:rsidRPr="003653DF">
        <w:rPr>
          <w:rFonts w:ascii="Times New Roman" w:hAnsi="Times New Roman"/>
          <w:bCs/>
          <w:sz w:val="24"/>
          <w:szCs w:val="24"/>
        </w:rPr>
        <w:t xml:space="preserve">- развитие возможности осуществления дистанционных методов контроля; совершенствование информационного обмена с </w:t>
      </w:r>
      <w:r w:rsidR="004A0A8F">
        <w:rPr>
          <w:rFonts w:ascii="Times New Roman" w:hAnsi="Times New Roman"/>
          <w:bCs/>
          <w:sz w:val="24"/>
          <w:szCs w:val="24"/>
        </w:rPr>
        <w:t>А</w:t>
      </w:r>
      <w:r w:rsidRPr="003653DF">
        <w:rPr>
          <w:rFonts w:ascii="Times New Roman" w:hAnsi="Times New Roman"/>
          <w:bCs/>
          <w:sz w:val="24"/>
          <w:szCs w:val="24"/>
        </w:rPr>
        <w:t xml:space="preserve">дминистрацией </w:t>
      </w:r>
      <w:r w:rsidR="004A0A8F">
        <w:rPr>
          <w:rFonts w:ascii="Times New Roman" w:hAnsi="Times New Roman"/>
          <w:bCs/>
          <w:sz w:val="24"/>
          <w:szCs w:val="24"/>
        </w:rPr>
        <w:t xml:space="preserve">Томской </w:t>
      </w:r>
      <w:r w:rsidRPr="003653DF">
        <w:rPr>
          <w:rFonts w:ascii="Times New Roman" w:hAnsi="Times New Roman"/>
          <w:bCs/>
          <w:sz w:val="24"/>
          <w:szCs w:val="24"/>
        </w:rPr>
        <w:t>области посредством внедрения и развития со</w:t>
      </w:r>
      <w:r w:rsidR="004A0A8F">
        <w:rPr>
          <w:rFonts w:ascii="Times New Roman" w:hAnsi="Times New Roman"/>
          <w:bCs/>
          <w:sz w:val="24"/>
          <w:szCs w:val="24"/>
        </w:rPr>
        <w:t>временных цифровых технологий.</w:t>
      </w:r>
    </w:p>
    <w:p w:rsidR="003653DF" w:rsidRPr="003653DF" w:rsidRDefault="003653DF" w:rsidP="009D76C5">
      <w:pPr>
        <w:spacing w:after="0" w:line="240" w:lineRule="auto"/>
        <w:jc w:val="both"/>
        <w:rPr>
          <w:rFonts w:ascii="Times New Roman" w:hAnsi="Times New Roman"/>
          <w:bCs/>
          <w:sz w:val="24"/>
          <w:szCs w:val="24"/>
        </w:rPr>
      </w:pPr>
    </w:p>
    <w:p w:rsidR="003653DF" w:rsidRPr="003653DF" w:rsidRDefault="003653DF" w:rsidP="009D76C5">
      <w:pPr>
        <w:spacing w:after="0" w:line="240" w:lineRule="auto"/>
        <w:jc w:val="both"/>
        <w:rPr>
          <w:rFonts w:ascii="Times New Roman" w:hAnsi="Times New Roman"/>
          <w:bCs/>
          <w:sz w:val="24"/>
          <w:szCs w:val="24"/>
        </w:rPr>
      </w:pPr>
      <w:r w:rsidRPr="003653DF">
        <w:rPr>
          <w:rFonts w:ascii="Times New Roman" w:hAnsi="Times New Roman"/>
          <w:bCs/>
          <w:sz w:val="24"/>
          <w:szCs w:val="24"/>
        </w:rPr>
        <w:t>На сегодня поставлены задачи и сформулирован краткосрочный План развития на период 2024 – 2026 гг., а именно:</w:t>
      </w:r>
    </w:p>
    <w:p w:rsidR="003653DF" w:rsidRPr="003653DF" w:rsidRDefault="003653DF" w:rsidP="00280068">
      <w:pPr>
        <w:spacing w:after="0" w:line="240" w:lineRule="auto"/>
        <w:ind w:firstLine="284"/>
        <w:jc w:val="both"/>
        <w:rPr>
          <w:rFonts w:ascii="Times New Roman" w:hAnsi="Times New Roman"/>
          <w:bCs/>
          <w:sz w:val="24"/>
          <w:szCs w:val="24"/>
        </w:rPr>
      </w:pPr>
      <w:r w:rsidRPr="003653DF">
        <w:rPr>
          <w:rFonts w:ascii="Times New Roman" w:hAnsi="Times New Roman"/>
          <w:bCs/>
          <w:sz w:val="24"/>
          <w:szCs w:val="24"/>
        </w:rPr>
        <w:t>- планирование контрольных мероприятий исходя из риск-ориентированного подхода на три года с 2025 года;</w:t>
      </w:r>
    </w:p>
    <w:p w:rsidR="003653DF" w:rsidRPr="003653DF" w:rsidRDefault="003653DF" w:rsidP="00280068">
      <w:pPr>
        <w:spacing w:after="0" w:line="240" w:lineRule="auto"/>
        <w:ind w:firstLine="284"/>
        <w:jc w:val="both"/>
        <w:rPr>
          <w:rFonts w:ascii="Times New Roman" w:hAnsi="Times New Roman"/>
          <w:bCs/>
          <w:sz w:val="24"/>
          <w:szCs w:val="24"/>
        </w:rPr>
      </w:pPr>
      <w:r w:rsidRPr="003653DF">
        <w:rPr>
          <w:rFonts w:ascii="Times New Roman" w:hAnsi="Times New Roman"/>
          <w:bCs/>
          <w:sz w:val="24"/>
          <w:szCs w:val="24"/>
        </w:rPr>
        <w:t>- проведение ежеквартального оперативного анализа исполнения областного бюджета и бюджета ТФОМС перед формированием квартальной отчетности;</w:t>
      </w:r>
    </w:p>
    <w:p w:rsidR="003653DF" w:rsidRPr="003653DF" w:rsidRDefault="003653DF" w:rsidP="00280068">
      <w:pPr>
        <w:spacing w:after="0" w:line="240" w:lineRule="auto"/>
        <w:ind w:firstLine="284"/>
        <w:jc w:val="both"/>
        <w:rPr>
          <w:rFonts w:ascii="Times New Roman" w:hAnsi="Times New Roman"/>
          <w:bCs/>
          <w:sz w:val="24"/>
          <w:szCs w:val="24"/>
        </w:rPr>
      </w:pPr>
      <w:r w:rsidRPr="003653DF">
        <w:rPr>
          <w:rFonts w:ascii="Times New Roman" w:hAnsi="Times New Roman"/>
          <w:bCs/>
          <w:sz w:val="24"/>
          <w:szCs w:val="24"/>
        </w:rPr>
        <w:t>- проведение мониторинга реализации национальных проектов в Томской области (вне рамок КМ и ЭАМ);</w:t>
      </w:r>
    </w:p>
    <w:p w:rsidR="003653DF" w:rsidRPr="003653DF" w:rsidRDefault="003653DF" w:rsidP="00280068">
      <w:pPr>
        <w:spacing w:after="0" w:line="240" w:lineRule="auto"/>
        <w:ind w:firstLine="284"/>
        <w:jc w:val="both"/>
        <w:rPr>
          <w:rFonts w:ascii="Times New Roman" w:hAnsi="Times New Roman"/>
          <w:bCs/>
          <w:sz w:val="24"/>
          <w:szCs w:val="24"/>
        </w:rPr>
      </w:pPr>
      <w:r w:rsidRPr="003653DF">
        <w:rPr>
          <w:rFonts w:ascii="Times New Roman" w:hAnsi="Times New Roman"/>
          <w:bCs/>
          <w:sz w:val="24"/>
          <w:szCs w:val="24"/>
        </w:rPr>
        <w:t>- отраслевой анализ сферы деятельности объектов аудита в ходе тематических мероприятий;</w:t>
      </w:r>
    </w:p>
    <w:p w:rsidR="003653DF" w:rsidRPr="003653DF" w:rsidRDefault="003653DF" w:rsidP="00280068">
      <w:pPr>
        <w:spacing w:after="0" w:line="240" w:lineRule="auto"/>
        <w:ind w:firstLine="284"/>
        <w:jc w:val="both"/>
        <w:rPr>
          <w:rFonts w:ascii="Times New Roman" w:hAnsi="Times New Roman"/>
          <w:bCs/>
          <w:sz w:val="24"/>
          <w:szCs w:val="24"/>
        </w:rPr>
      </w:pPr>
      <w:r w:rsidRPr="003653DF">
        <w:rPr>
          <w:rFonts w:ascii="Times New Roman" w:hAnsi="Times New Roman"/>
          <w:bCs/>
          <w:sz w:val="24"/>
          <w:szCs w:val="24"/>
        </w:rPr>
        <w:t>- подготовка на основе КМ и ЭАМ рекомендаций и доведение их до ГРБС Томской области по отраслевому принципу или направлению деятельности;</w:t>
      </w:r>
    </w:p>
    <w:p w:rsidR="003653DF" w:rsidRPr="003653DF" w:rsidRDefault="003653DF" w:rsidP="00280068">
      <w:pPr>
        <w:spacing w:after="0" w:line="240" w:lineRule="auto"/>
        <w:ind w:firstLine="284"/>
        <w:jc w:val="both"/>
        <w:rPr>
          <w:rFonts w:ascii="Times New Roman" w:hAnsi="Times New Roman"/>
          <w:bCs/>
          <w:sz w:val="24"/>
          <w:szCs w:val="24"/>
        </w:rPr>
      </w:pPr>
      <w:r w:rsidRPr="003653DF">
        <w:rPr>
          <w:rFonts w:ascii="Times New Roman" w:hAnsi="Times New Roman"/>
          <w:bCs/>
          <w:sz w:val="24"/>
          <w:szCs w:val="24"/>
        </w:rPr>
        <w:t xml:space="preserve">- развитие </w:t>
      </w:r>
      <w:proofErr w:type="spellStart"/>
      <w:r w:rsidRPr="003653DF">
        <w:rPr>
          <w:rFonts w:ascii="Times New Roman" w:hAnsi="Times New Roman"/>
          <w:bCs/>
          <w:sz w:val="24"/>
          <w:szCs w:val="24"/>
        </w:rPr>
        <w:t>цифровизации</w:t>
      </w:r>
      <w:proofErr w:type="spellEnd"/>
      <w:r w:rsidRPr="003653DF">
        <w:rPr>
          <w:rFonts w:ascii="Times New Roman" w:hAnsi="Times New Roman"/>
          <w:bCs/>
          <w:sz w:val="24"/>
          <w:szCs w:val="24"/>
        </w:rPr>
        <w:t xml:space="preserve"> при реализации полномочий КСП Томской области;</w:t>
      </w:r>
    </w:p>
    <w:p w:rsidR="003653DF" w:rsidRPr="003653DF" w:rsidRDefault="003653DF" w:rsidP="00280068">
      <w:pPr>
        <w:spacing w:after="0" w:line="240" w:lineRule="auto"/>
        <w:ind w:firstLine="284"/>
        <w:jc w:val="both"/>
        <w:rPr>
          <w:rFonts w:ascii="Times New Roman" w:hAnsi="Times New Roman"/>
          <w:bCs/>
          <w:sz w:val="24"/>
          <w:szCs w:val="24"/>
        </w:rPr>
      </w:pPr>
      <w:r w:rsidRPr="003653DF">
        <w:rPr>
          <w:rFonts w:ascii="Times New Roman" w:hAnsi="Times New Roman"/>
          <w:bCs/>
          <w:sz w:val="24"/>
          <w:szCs w:val="24"/>
        </w:rPr>
        <w:t>- анализ Стратегий развития муниципальных образований с высокодотационными бюджетами с 2025 года;</w:t>
      </w:r>
    </w:p>
    <w:p w:rsidR="003653DF" w:rsidRPr="003653DF" w:rsidRDefault="003653DF" w:rsidP="00280068">
      <w:pPr>
        <w:spacing w:after="0" w:line="240" w:lineRule="auto"/>
        <w:ind w:firstLine="284"/>
        <w:jc w:val="both"/>
        <w:rPr>
          <w:rFonts w:ascii="Times New Roman" w:hAnsi="Times New Roman"/>
          <w:bCs/>
          <w:sz w:val="24"/>
          <w:szCs w:val="24"/>
        </w:rPr>
      </w:pPr>
      <w:r w:rsidRPr="003653DF">
        <w:rPr>
          <w:rFonts w:ascii="Times New Roman" w:hAnsi="Times New Roman"/>
          <w:bCs/>
          <w:sz w:val="24"/>
          <w:szCs w:val="24"/>
        </w:rPr>
        <w:t>- проведение для ГРБС и иных заинтересованных лиц семинаров по итогам проведенных КМ и ЭАМ с 2025 года.</w:t>
      </w:r>
    </w:p>
    <w:p w:rsidR="00B52CFB" w:rsidRPr="003653DF" w:rsidRDefault="00B52CFB" w:rsidP="009D76C5">
      <w:pPr>
        <w:spacing w:after="0" w:line="240" w:lineRule="auto"/>
        <w:ind w:firstLine="567"/>
        <w:jc w:val="both"/>
        <w:rPr>
          <w:rFonts w:ascii="Times New Roman" w:hAnsi="Times New Roman"/>
          <w:bCs/>
          <w:sz w:val="24"/>
          <w:szCs w:val="24"/>
        </w:rPr>
      </w:pPr>
    </w:p>
    <w:p w:rsidR="00B52CFB" w:rsidRPr="003653DF" w:rsidRDefault="00B52CFB" w:rsidP="009D76C5">
      <w:pPr>
        <w:spacing w:after="0" w:line="240" w:lineRule="auto"/>
        <w:ind w:firstLine="567"/>
        <w:jc w:val="both"/>
        <w:rPr>
          <w:rFonts w:ascii="Times New Roman" w:hAnsi="Times New Roman"/>
          <w:bCs/>
          <w:sz w:val="24"/>
          <w:szCs w:val="24"/>
        </w:rPr>
      </w:pPr>
    </w:p>
    <w:p w:rsidR="00B52CFB" w:rsidRDefault="005F32F0" w:rsidP="009D76C5">
      <w:pPr>
        <w:spacing w:after="0" w:line="240" w:lineRule="auto"/>
        <w:jc w:val="both"/>
        <w:rPr>
          <w:rFonts w:ascii="Times New Roman" w:hAnsi="Times New Roman"/>
          <w:bCs/>
          <w:sz w:val="24"/>
          <w:szCs w:val="24"/>
        </w:rPr>
      </w:pPr>
      <w:r>
        <w:rPr>
          <w:rFonts w:ascii="Times New Roman" w:hAnsi="Times New Roman"/>
          <w:bCs/>
          <w:sz w:val="24"/>
          <w:szCs w:val="24"/>
        </w:rPr>
        <w:t>Председатель</w:t>
      </w:r>
    </w:p>
    <w:p w:rsidR="005F32F0" w:rsidRDefault="005F32F0" w:rsidP="009D76C5">
      <w:pPr>
        <w:spacing w:after="0" w:line="240" w:lineRule="auto"/>
        <w:jc w:val="both"/>
        <w:rPr>
          <w:rFonts w:ascii="Times New Roman" w:hAnsi="Times New Roman"/>
          <w:bCs/>
          <w:sz w:val="24"/>
          <w:szCs w:val="24"/>
        </w:rPr>
      </w:pPr>
      <w:r>
        <w:rPr>
          <w:rFonts w:ascii="Times New Roman" w:hAnsi="Times New Roman"/>
          <w:bCs/>
          <w:sz w:val="24"/>
          <w:szCs w:val="24"/>
        </w:rPr>
        <w:t>Контрольно-счетной палаты</w:t>
      </w:r>
    </w:p>
    <w:p w:rsidR="005F32F0" w:rsidRPr="003653DF" w:rsidRDefault="005F32F0" w:rsidP="009D76C5">
      <w:pPr>
        <w:spacing w:after="0" w:line="240" w:lineRule="auto"/>
        <w:jc w:val="both"/>
        <w:rPr>
          <w:rFonts w:ascii="Times New Roman" w:hAnsi="Times New Roman"/>
          <w:bCs/>
          <w:sz w:val="24"/>
          <w:szCs w:val="24"/>
        </w:rPr>
      </w:pPr>
      <w:r>
        <w:rPr>
          <w:rFonts w:ascii="Times New Roman" w:hAnsi="Times New Roman"/>
          <w:bCs/>
          <w:sz w:val="24"/>
          <w:szCs w:val="24"/>
        </w:rPr>
        <w:t>Томской области</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И.Ю. </w:t>
      </w:r>
      <w:proofErr w:type="spellStart"/>
      <w:r>
        <w:rPr>
          <w:rFonts w:ascii="Times New Roman" w:hAnsi="Times New Roman"/>
          <w:bCs/>
          <w:sz w:val="24"/>
          <w:szCs w:val="24"/>
        </w:rPr>
        <w:t>Жалонкина</w:t>
      </w:r>
      <w:proofErr w:type="spellEnd"/>
    </w:p>
    <w:sectPr w:rsidR="005F32F0" w:rsidRPr="003653DF" w:rsidSect="00CE2052">
      <w:headerReference w:type="default" r:id="rId8"/>
      <w:pgSz w:w="11906" w:h="16838"/>
      <w:pgMar w:top="851" w:right="566" w:bottom="851"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D94" w:rsidRDefault="00075D94" w:rsidP="00075D94">
      <w:pPr>
        <w:spacing w:after="0" w:line="240" w:lineRule="auto"/>
      </w:pPr>
      <w:r>
        <w:separator/>
      </w:r>
    </w:p>
  </w:endnote>
  <w:endnote w:type="continuationSeparator" w:id="0">
    <w:p w:rsidR="00075D94" w:rsidRDefault="00075D94" w:rsidP="0007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Grand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D94" w:rsidRDefault="00075D94" w:rsidP="00075D94">
      <w:pPr>
        <w:spacing w:after="0" w:line="240" w:lineRule="auto"/>
      </w:pPr>
      <w:r>
        <w:separator/>
      </w:r>
    </w:p>
  </w:footnote>
  <w:footnote w:type="continuationSeparator" w:id="0">
    <w:p w:rsidR="00075D94" w:rsidRDefault="00075D94" w:rsidP="00075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454464"/>
      <w:docPartObj>
        <w:docPartGallery w:val="Page Numbers (Top of Page)"/>
        <w:docPartUnique/>
      </w:docPartObj>
    </w:sdtPr>
    <w:sdtEndPr>
      <w:rPr>
        <w:rFonts w:ascii="Times New Roman" w:hAnsi="Times New Roman" w:cs="Times New Roman"/>
        <w:sz w:val="18"/>
      </w:rPr>
    </w:sdtEndPr>
    <w:sdtContent>
      <w:p w:rsidR="00075D94" w:rsidRPr="00075D94" w:rsidRDefault="00075D94">
        <w:pPr>
          <w:pStyle w:val="ab"/>
          <w:jc w:val="center"/>
          <w:rPr>
            <w:rFonts w:ascii="Times New Roman" w:hAnsi="Times New Roman" w:cs="Times New Roman"/>
            <w:sz w:val="18"/>
          </w:rPr>
        </w:pPr>
        <w:r w:rsidRPr="00075D94">
          <w:rPr>
            <w:rFonts w:ascii="Times New Roman" w:hAnsi="Times New Roman" w:cs="Times New Roman"/>
            <w:sz w:val="18"/>
          </w:rPr>
          <w:fldChar w:fldCharType="begin"/>
        </w:r>
        <w:r w:rsidRPr="00075D94">
          <w:rPr>
            <w:rFonts w:ascii="Times New Roman" w:hAnsi="Times New Roman" w:cs="Times New Roman"/>
            <w:sz w:val="18"/>
          </w:rPr>
          <w:instrText>PAGE   \* MERGEFORMAT</w:instrText>
        </w:r>
        <w:r w:rsidRPr="00075D94">
          <w:rPr>
            <w:rFonts w:ascii="Times New Roman" w:hAnsi="Times New Roman" w:cs="Times New Roman"/>
            <w:sz w:val="18"/>
          </w:rPr>
          <w:fldChar w:fldCharType="separate"/>
        </w:r>
        <w:r w:rsidR="00E22D71">
          <w:rPr>
            <w:rFonts w:ascii="Times New Roman" w:hAnsi="Times New Roman" w:cs="Times New Roman"/>
            <w:noProof/>
            <w:sz w:val="18"/>
          </w:rPr>
          <w:t>22</w:t>
        </w:r>
        <w:r w:rsidRPr="00075D94">
          <w:rPr>
            <w:rFonts w:ascii="Times New Roman" w:hAnsi="Times New Roman" w:cs="Times New Roman"/>
            <w:sz w:val="18"/>
          </w:rPr>
          <w:fldChar w:fldCharType="end"/>
        </w:r>
      </w:p>
    </w:sdtContent>
  </w:sdt>
  <w:p w:rsidR="00075D94" w:rsidRDefault="00075D9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F61C20"/>
    <w:multiLevelType w:val="hybridMultilevel"/>
    <w:tmpl w:val="3BDE0CBE"/>
    <w:lvl w:ilvl="0" w:tplc="45368118">
      <w:start w:val="1"/>
      <w:numFmt w:val="bullet"/>
      <w:lvlText w:val="•"/>
      <w:lvlJc w:val="left"/>
      <w:pPr>
        <w:tabs>
          <w:tab w:val="num" w:pos="720"/>
        </w:tabs>
        <w:ind w:left="720" w:hanging="360"/>
      </w:pPr>
      <w:rPr>
        <w:rFonts w:ascii="Times New Roman" w:hAnsi="Times New Roman" w:hint="default"/>
      </w:rPr>
    </w:lvl>
    <w:lvl w:ilvl="1" w:tplc="FD786912" w:tentative="1">
      <w:start w:val="1"/>
      <w:numFmt w:val="bullet"/>
      <w:lvlText w:val="•"/>
      <w:lvlJc w:val="left"/>
      <w:pPr>
        <w:tabs>
          <w:tab w:val="num" w:pos="1440"/>
        </w:tabs>
        <w:ind w:left="1440" w:hanging="360"/>
      </w:pPr>
      <w:rPr>
        <w:rFonts w:ascii="Times New Roman" w:hAnsi="Times New Roman" w:hint="default"/>
      </w:rPr>
    </w:lvl>
    <w:lvl w:ilvl="2" w:tplc="6B7012F0" w:tentative="1">
      <w:start w:val="1"/>
      <w:numFmt w:val="bullet"/>
      <w:lvlText w:val="•"/>
      <w:lvlJc w:val="left"/>
      <w:pPr>
        <w:tabs>
          <w:tab w:val="num" w:pos="2160"/>
        </w:tabs>
        <w:ind w:left="2160" w:hanging="360"/>
      </w:pPr>
      <w:rPr>
        <w:rFonts w:ascii="Times New Roman" w:hAnsi="Times New Roman" w:hint="default"/>
      </w:rPr>
    </w:lvl>
    <w:lvl w:ilvl="3" w:tplc="E6A628D6" w:tentative="1">
      <w:start w:val="1"/>
      <w:numFmt w:val="bullet"/>
      <w:lvlText w:val="•"/>
      <w:lvlJc w:val="left"/>
      <w:pPr>
        <w:tabs>
          <w:tab w:val="num" w:pos="2880"/>
        </w:tabs>
        <w:ind w:left="2880" w:hanging="360"/>
      </w:pPr>
      <w:rPr>
        <w:rFonts w:ascii="Times New Roman" w:hAnsi="Times New Roman" w:hint="default"/>
      </w:rPr>
    </w:lvl>
    <w:lvl w:ilvl="4" w:tplc="14E61EC0" w:tentative="1">
      <w:start w:val="1"/>
      <w:numFmt w:val="bullet"/>
      <w:lvlText w:val="•"/>
      <w:lvlJc w:val="left"/>
      <w:pPr>
        <w:tabs>
          <w:tab w:val="num" w:pos="3600"/>
        </w:tabs>
        <w:ind w:left="3600" w:hanging="360"/>
      </w:pPr>
      <w:rPr>
        <w:rFonts w:ascii="Times New Roman" w:hAnsi="Times New Roman" w:hint="default"/>
      </w:rPr>
    </w:lvl>
    <w:lvl w:ilvl="5" w:tplc="0A304D78" w:tentative="1">
      <w:start w:val="1"/>
      <w:numFmt w:val="bullet"/>
      <w:lvlText w:val="•"/>
      <w:lvlJc w:val="left"/>
      <w:pPr>
        <w:tabs>
          <w:tab w:val="num" w:pos="4320"/>
        </w:tabs>
        <w:ind w:left="4320" w:hanging="360"/>
      </w:pPr>
      <w:rPr>
        <w:rFonts w:ascii="Times New Roman" w:hAnsi="Times New Roman" w:hint="default"/>
      </w:rPr>
    </w:lvl>
    <w:lvl w:ilvl="6" w:tplc="52A85810" w:tentative="1">
      <w:start w:val="1"/>
      <w:numFmt w:val="bullet"/>
      <w:lvlText w:val="•"/>
      <w:lvlJc w:val="left"/>
      <w:pPr>
        <w:tabs>
          <w:tab w:val="num" w:pos="5040"/>
        </w:tabs>
        <w:ind w:left="5040" w:hanging="360"/>
      </w:pPr>
      <w:rPr>
        <w:rFonts w:ascii="Times New Roman" w:hAnsi="Times New Roman" w:hint="default"/>
      </w:rPr>
    </w:lvl>
    <w:lvl w:ilvl="7" w:tplc="C8283A18" w:tentative="1">
      <w:start w:val="1"/>
      <w:numFmt w:val="bullet"/>
      <w:lvlText w:val="•"/>
      <w:lvlJc w:val="left"/>
      <w:pPr>
        <w:tabs>
          <w:tab w:val="num" w:pos="5760"/>
        </w:tabs>
        <w:ind w:left="5760" w:hanging="360"/>
      </w:pPr>
      <w:rPr>
        <w:rFonts w:ascii="Times New Roman" w:hAnsi="Times New Roman" w:hint="default"/>
      </w:rPr>
    </w:lvl>
    <w:lvl w:ilvl="8" w:tplc="2FD0A4E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DE92314"/>
    <w:multiLevelType w:val="hybridMultilevel"/>
    <w:tmpl w:val="97761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8837031"/>
    <w:multiLevelType w:val="hybridMultilevel"/>
    <w:tmpl w:val="D464B57A"/>
    <w:lvl w:ilvl="0" w:tplc="C00AEF38">
      <w:start w:val="1"/>
      <w:numFmt w:val="bullet"/>
      <w:lvlText w:val="•"/>
      <w:lvlJc w:val="left"/>
      <w:pPr>
        <w:tabs>
          <w:tab w:val="num" w:pos="720"/>
        </w:tabs>
        <w:ind w:left="720" w:hanging="360"/>
      </w:pPr>
      <w:rPr>
        <w:rFonts w:ascii="Times New Roman" w:hAnsi="Times New Roman" w:hint="default"/>
      </w:rPr>
    </w:lvl>
    <w:lvl w:ilvl="1" w:tplc="DC38048C" w:tentative="1">
      <w:start w:val="1"/>
      <w:numFmt w:val="bullet"/>
      <w:lvlText w:val="•"/>
      <w:lvlJc w:val="left"/>
      <w:pPr>
        <w:tabs>
          <w:tab w:val="num" w:pos="1440"/>
        </w:tabs>
        <w:ind w:left="1440" w:hanging="360"/>
      </w:pPr>
      <w:rPr>
        <w:rFonts w:ascii="Times New Roman" w:hAnsi="Times New Roman" w:hint="default"/>
      </w:rPr>
    </w:lvl>
    <w:lvl w:ilvl="2" w:tplc="B92C6C08" w:tentative="1">
      <w:start w:val="1"/>
      <w:numFmt w:val="bullet"/>
      <w:lvlText w:val="•"/>
      <w:lvlJc w:val="left"/>
      <w:pPr>
        <w:tabs>
          <w:tab w:val="num" w:pos="2160"/>
        </w:tabs>
        <w:ind w:left="2160" w:hanging="360"/>
      </w:pPr>
      <w:rPr>
        <w:rFonts w:ascii="Times New Roman" w:hAnsi="Times New Roman" w:hint="default"/>
      </w:rPr>
    </w:lvl>
    <w:lvl w:ilvl="3" w:tplc="F98E496E" w:tentative="1">
      <w:start w:val="1"/>
      <w:numFmt w:val="bullet"/>
      <w:lvlText w:val="•"/>
      <w:lvlJc w:val="left"/>
      <w:pPr>
        <w:tabs>
          <w:tab w:val="num" w:pos="2880"/>
        </w:tabs>
        <w:ind w:left="2880" w:hanging="360"/>
      </w:pPr>
      <w:rPr>
        <w:rFonts w:ascii="Times New Roman" w:hAnsi="Times New Roman" w:hint="default"/>
      </w:rPr>
    </w:lvl>
    <w:lvl w:ilvl="4" w:tplc="4F3E744E" w:tentative="1">
      <w:start w:val="1"/>
      <w:numFmt w:val="bullet"/>
      <w:lvlText w:val="•"/>
      <w:lvlJc w:val="left"/>
      <w:pPr>
        <w:tabs>
          <w:tab w:val="num" w:pos="3600"/>
        </w:tabs>
        <w:ind w:left="3600" w:hanging="360"/>
      </w:pPr>
      <w:rPr>
        <w:rFonts w:ascii="Times New Roman" w:hAnsi="Times New Roman" w:hint="default"/>
      </w:rPr>
    </w:lvl>
    <w:lvl w:ilvl="5" w:tplc="66AC3C46" w:tentative="1">
      <w:start w:val="1"/>
      <w:numFmt w:val="bullet"/>
      <w:lvlText w:val="•"/>
      <w:lvlJc w:val="left"/>
      <w:pPr>
        <w:tabs>
          <w:tab w:val="num" w:pos="4320"/>
        </w:tabs>
        <w:ind w:left="4320" w:hanging="360"/>
      </w:pPr>
      <w:rPr>
        <w:rFonts w:ascii="Times New Roman" w:hAnsi="Times New Roman" w:hint="default"/>
      </w:rPr>
    </w:lvl>
    <w:lvl w:ilvl="6" w:tplc="D750CF44" w:tentative="1">
      <w:start w:val="1"/>
      <w:numFmt w:val="bullet"/>
      <w:lvlText w:val="•"/>
      <w:lvlJc w:val="left"/>
      <w:pPr>
        <w:tabs>
          <w:tab w:val="num" w:pos="5040"/>
        </w:tabs>
        <w:ind w:left="5040" w:hanging="360"/>
      </w:pPr>
      <w:rPr>
        <w:rFonts w:ascii="Times New Roman" w:hAnsi="Times New Roman" w:hint="default"/>
      </w:rPr>
    </w:lvl>
    <w:lvl w:ilvl="7" w:tplc="E0C8E0C6" w:tentative="1">
      <w:start w:val="1"/>
      <w:numFmt w:val="bullet"/>
      <w:lvlText w:val="•"/>
      <w:lvlJc w:val="left"/>
      <w:pPr>
        <w:tabs>
          <w:tab w:val="num" w:pos="5760"/>
        </w:tabs>
        <w:ind w:left="5760" w:hanging="360"/>
      </w:pPr>
      <w:rPr>
        <w:rFonts w:ascii="Times New Roman" w:hAnsi="Times New Roman" w:hint="default"/>
      </w:rPr>
    </w:lvl>
    <w:lvl w:ilvl="8" w:tplc="96720A0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3A925CC"/>
    <w:multiLevelType w:val="hybridMultilevel"/>
    <w:tmpl w:val="601813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DC7DD9"/>
    <w:multiLevelType w:val="hybridMultilevel"/>
    <w:tmpl w:val="7B2E3156"/>
    <w:lvl w:ilvl="0" w:tplc="2DA6B036">
      <w:start w:val="1"/>
      <w:numFmt w:val="bullet"/>
      <w:lvlText w:val="•"/>
      <w:lvlJc w:val="left"/>
      <w:pPr>
        <w:tabs>
          <w:tab w:val="num" w:pos="720"/>
        </w:tabs>
        <w:ind w:left="720" w:hanging="360"/>
      </w:pPr>
      <w:rPr>
        <w:rFonts w:ascii="Times New Roman" w:hAnsi="Times New Roman" w:hint="default"/>
      </w:rPr>
    </w:lvl>
    <w:lvl w:ilvl="1" w:tplc="BA0C028A" w:tentative="1">
      <w:start w:val="1"/>
      <w:numFmt w:val="bullet"/>
      <w:lvlText w:val="•"/>
      <w:lvlJc w:val="left"/>
      <w:pPr>
        <w:tabs>
          <w:tab w:val="num" w:pos="1440"/>
        </w:tabs>
        <w:ind w:left="1440" w:hanging="360"/>
      </w:pPr>
      <w:rPr>
        <w:rFonts w:ascii="Times New Roman" w:hAnsi="Times New Roman" w:hint="default"/>
      </w:rPr>
    </w:lvl>
    <w:lvl w:ilvl="2" w:tplc="9FEEE0FA" w:tentative="1">
      <w:start w:val="1"/>
      <w:numFmt w:val="bullet"/>
      <w:lvlText w:val="•"/>
      <w:lvlJc w:val="left"/>
      <w:pPr>
        <w:tabs>
          <w:tab w:val="num" w:pos="2160"/>
        </w:tabs>
        <w:ind w:left="2160" w:hanging="360"/>
      </w:pPr>
      <w:rPr>
        <w:rFonts w:ascii="Times New Roman" w:hAnsi="Times New Roman" w:hint="default"/>
      </w:rPr>
    </w:lvl>
    <w:lvl w:ilvl="3" w:tplc="982E8A7C" w:tentative="1">
      <w:start w:val="1"/>
      <w:numFmt w:val="bullet"/>
      <w:lvlText w:val="•"/>
      <w:lvlJc w:val="left"/>
      <w:pPr>
        <w:tabs>
          <w:tab w:val="num" w:pos="2880"/>
        </w:tabs>
        <w:ind w:left="2880" w:hanging="360"/>
      </w:pPr>
      <w:rPr>
        <w:rFonts w:ascii="Times New Roman" w:hAnsi="Times New Roman" w:hint="default"/>
      </w:rPr>
    </w:lvl>
    <w:lvl w:ilvl="4" w:tplc="4C98FAFA" w:tentative="1">
      <w:start w:val="1"/>
      <w:numFmt w:val="bullet"/>
      <w:lvlText w:val="•"/>
      <w:lvlJc w:val="left"/>
      <w:pPr>
        <w:tabs>
          <w:tab w:val="num" w:pos="3600"/>
        </w:tabs>
        <w:ind w:left="3600" w:hanging="360"/>
      </w:pPr>
      <w:rPr>
        <w:rFonts w:ascii="Times New Roman" w:hAnsi="Times New Roman" w:hint="default"/>
      </w:rPr>
    </w:lvl>
    <w:lvl w:ilvl="5" w:tplc="097C3AAC" w:tentative="1">
      <w:start w:val="1"/>
      <w:numFmt w:val="bullet"/>
      <w:lvlText w:val="•"/>
      <w:lvlJc w:val="left"/>
      <w:pPr>
        <w:tabs>
          <w:tab w:val="num" w:pos="4320"/>
        </w:tabs>
        <w:ind w:left="4320" w:hanging="360"/>
      </w:pPr>
      <w:rPr>
        <w:rFonts w:ascii="Times New Roman" w:hAnsi="Times New Roman" w:hint="default"/>
      </w:rPr>
    </w:lvl>
    <w:lvl w:ilvl="6" w:tplc="5D840030" w:tentative="1">
      <w:start w:val="1"/>
      <w:numFmt w:val="bullet"/>
      <w:lvlText w:val="•"/>
      <w:lvlJc w:val="left"/>
      <w:pPr>
        <w:tabs>
          <w:tab w:val="num" w:pos="5040"/>
        </w:tabs>
        <w:ind w:left="5040" w:hanging="360"/>
      </w:pPr>
      <w:rPr>
        <w:rFonts w:ascii="Times New Roman" w:hAnsi="Times New Roman" w:hint="default"/>
      </w:rPr>
    </w:lvl>
    <w:lvl w:ilvl="7" w:tplc="9EEA198A" w:tentative="1">
      <w:start w:val="1"/>
      <w:numFmt w:val="bullet"/>
      <w:lvlText w:val="•"/>
      <w:lvlJc w:val="left"/>
      <w:pPr>
        <w:tabs>
          <w:tab w:val="num" w:pos="5760"/>
        </w:tabs>
        <w:ind w:left="5760" w:hanging="360"/>
      </w:pPr>
      <w:rPr>
        <w:rFonts w:ascii="Times New Roman" w:hAnsi="Times New Roman" w:hint="default"/>
      </w:rPr>
    </w:lvl>
    <w:lvl w:ilvl="8" w:tplc="081C62E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C0E4BB4"/>
    <w:multiLevelType w:val="hybridMultilevel"/>
    <w:tmpl w:val="1F123F76"/>
    <w:lvl w:ilvl="0" w:tplc="113C7346">
      <w:start w:val="1"/>
      <w:numFmt w:val="bullet"/>
      <w:lvlText w:val="•"/>
      <w:lvlJc w:val="left"/>
      <w:pPr>
        <w:tabs>
          <w:tab w:val="num" w:pos="720"/>
        </w:tabs>
        <w:ind w:left="720" w:hanging="360"/>
      </w:pPr>
      <w:rPr>
        <w:rFonts w:ascii="Times New Roman" w:hAnsi="Times New Roman" w:hint="default"/>
      </w:rPr>
    </w:lvl>
    <w:lvl w:ilvl="1" w:tplc="CC428B1A" w:tentative="1">
      <w:start w:val="1"/>
      <w:numFmt w:val="bullet"/>
      <w:lvlText w:val="•"/>
      <w:lvlJc w:val="left"/>
      <w:pPr>
        <w:tabs>
          <w:tab w:val="num" w:pos="1440"/>
        </w:tabs>
        <w:ind w:left="1440" w:hanging="360"/>
      </w:pPr>
      <w:rPr>
        <w:rFonts w:ascii="Times New Roman" w:hAnsi="Times New Roman" w:hint="default"/>
      </w:rPr>
    </w:lvl>
    <w:lvl w:ilvl="2" w:tplc="EC1A42A8" w:tentative="1">
      <w:start w:val="1"/>
      <w:numFmt w:val="bullet"/>
      <w:lvlText w:val="•"/>
      <w:lvlJc w:val="left"/>
      <w:pPr>
        <w:tabs>
          <w:tab w:val="num" w:pos="2160"/>
        </w:tabs>
        <w:ind w:left="2160" w:hanging="360"/>
      </w:pPr>
      <w:rPr>
        <w:rFonts w:ascii="Times New Roman" w:hAnsi="Times New Roman" w:hint="default"/>
      </w:rPr>
    </w:lvl>
    <w:lvl w:ilvl="3" w:tplc="733E9B9A" w:tentative="1">
      <w:start w:val="1"/>
      <w:numFmt w:val="bullet"/>
      <w:lvlText w:val="•"/>
      <w:lvlJc w:val="left"/>
      <w:pPr>
        <w:tabs>
          <w:tab w:val="num" w:pos="2880"/>
        </w:tabs>
        <w:ind w:left="2880" w:hanging="360"/>
      </w:pPr>
      <w:rPr>
        <w:rFonts w:ascii="Times New Roman" w:hAnsi="Times New Roman" w:hint="default"/>
      </w:rPr>
    </w:lvl>
    <w:lvl w:ilvl="4" w:tplc="CB724E0E" w:tentative="1">
      <w:start w:val="1"/>
      <w:numFmt w:val="bullet"/>
      <w:lvlText w:val="•"/>
      <w:lvlJc w:val="left"/>
      <w:pPr>
        <w:tabs>
          <w:tab w:val="num" w:pos="3600"/>
        </w:tabs>
        <w:ind w:left="3600" w:hanging="360"/>
      </w:pPr>
      <w:rPr>
        <w:rFonts w:ascii="Times New Roman" w:hAnsi="Times New Roman" w:hint="default"/>
      </w:rPr>
    </w:lvl>
    <w:lvl w:ilvl="5" w:tplc="EDE2A9B4" w:tentative="1">
      <w:start w:val="1"/>
      <w:numFmt w:val="bullet"/>
      <w:lvlText w:val="•"/>
      <w:lvlJc w:val="left"/>
      <w:pPr>
        <w:tabs>
          <w:tab w:val="num" w:pos="4320"/>
        </w:tabs>
        <w:ind w:left="4320" w:hanging="360"/>
      </w:pPr>
      <w:rPr>
        <w:rFonts w:ascii="Times New Roman" w:hAnsi="Times New Roman" w:hint="default"/>
      </w:rPr>
    </w:lvl>
    <w:lvl w:ilvl="6" w:tplc="01DEF008" w:tentative="1">
      <w:start w:val="1"/>
      <w:numFmt w:val="bullet"/>
      <w:lvlText w:val="•"/>
      <w:lvlJc w:val="left"/>
      <w:pPr>
        <w:tabs>
          <w:tab w:val="num" w:pos="5040"/>
        </w:tabs>
        <w:ind w:left="5040" w:hanging="360"/>
      </w:pPr>
      <w:rPr>
        <w:rFonts w:ascii="Times New Roman" w:hAnsi="Times New Roman" w:hint="default"/>
      </w:rPr>
    </w:lvl>
    <w:lvl w:ilvl="7" w:tplc="1638C0EC" w:tentative="1">
      <w:start w:val="1"/>
      <w:numFmt w:val="bullet"/>
      <w:lvlText w:val="•"/>
      <w:lvlJc w:val="left"/>
      <w:pPr>
        <w:tabs>
          <w:tab w:val="num" w:pos="5760"/>
        </w:tabs>
        <w:ind w:left="5760" w:hanging="360"/>
      </w:pPr>
      <w:rPr>
        <w:rFonts w:ascii="Times New Roman" w:hAnsi="Times New Roman" w:hint="default"/>
      </w:rPr>
    </w:lvl>
    <w:lvl w:ilvl="8" w:tplc="C4A8F2A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A2272E2"/>
    <w:multiLevelType w:val="hybridMultilevel"/>
    <w:tmpl w:val="26781DA6"/>
    <w:lvl w:ilvl="0" w:tplc="82881B78">
      <w:start w:val="1"/>
      <w:numFmt w:val="decimal"/>
      <w:suff w:val="space"/>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3A0233D"/>
    <w:multiLevelType w:val="hybridMultilevel"/>
    <w:tmpl w:val="9C00517E"/>
    <w:lvl w:ilvl="0" w:tplc="2E02768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FA7B67"/>
    <w:multiLevelType w:val="hybridMultilevel"/>
    <w:tmpl w:val="BF548C24"/>
    <w:lvl w:ilvl="0" w:tplc="D708F69E">
      <w:start w:val="1"/>
      <w:numFmt w:val="bullet"/>
      <w:lvlText w:val="•"/>
      <w:lvlJc w:val="left"/>
      <w:pPr>
        <w:tabs>
          <w:tab w:val="num" w:pos="720"/>
        </w:tabs>
        <w:ind w:left="720" w:hanging="360"/>
      </w:pPr>
      <w:rPr>
        <w:rFonts w:ascii="Times New Roman" w:hAnsi="Times New Roman" w:hint="default"/>
      </w:rPr>
    </w:lvl>
    <w:lvl w:ilvl="1" w:tplc="AEAA5D3C" w:tentative="1">
      <w:start w:val="1"/>
      <w:numFmt w:val="bullet"/>
      <w:lvlText w:val="•"/>
      <w:lvlJc w:val="left"/>
      <w:pPr>
        <w:tabs>
          <w:tab w:val="num" w:pos="1440"/>
        </w:tabs>
        <w:ind w:left="1440" w:hanging="360"/>
      </w:pPr>
      <w:rPr>
        <w:rFonts w:ascii="Times New Roman" w:hAnsi="Times New Roman" w:hint="default"/>
      </w:rPr>
    </w:lvl>
    <w:lvl w:ilvl="2" w:tplc="3DBCC0C6" w:tentative="1">
      <w:start w:val="1"/>
      <w:numFmt w:val="bullet"/>
      <w:lvlText w:val="•"/>
      <w:lvlJc w:val="left"/>
      <w:pPr>
        <w:tabs>
          <w:tab w:val="num" w:pos="2160"/>
        </w:tabs>
        <w:ind w:left="2160" w:hanging="360"/>
      </w:pPr>
      <w:rPr>
        <w:rFonts w:ascii="Times New Roman" w:hAnsi="Times New Roman" w:hint="default"/>
      </w:rPr>
    </w:lvl>
    <w:lvl w:ilvl="3" w:tplc="286E8DA4" w:tentative="1">
      <w:start w:val="1"/>
      <w:numFmt w:val="bullet"/>
      <w:lvlText w:val="•"/>
      <w:lvlJc w:val="left"/>
      <w:pPr>
        <w:tabs>
          <w:tab w:val="num" w:pos="2880"/>
        </w:tabs>
        <w:ind w:left="2880" w:hanging="360"/>
      </w:pPr>
      <w:rPr>
        <w:rFonts w:ascii="Times New Roman" w:hAnsi="Times New Roman" w:hint="default"/>
      </w:rPr>
    </w:lvl>
    <w:lvl w:ilvl="4" w:tplc="2DAA180C" w:tentative="1">
      <w:start w:val="1"/>
      <w:numFmt w:val="bullet"/>
      <w:lvlText w:val="•"/>
      <w:lvlJc w:val="left"/>
      <w:pPr>
        <w:tabs>
          <w:tab w:val="num" w:pos="3600"/>
        </w:tabs>
        <w:ind w:left="3600" w:hanging="360"/>
      </w:pPr>
      <w:rPr>
        <w:rFonts w:ascii="Times New Roman" w:hAnsi="Times New Roman" w:hint="default"/>
      </w:rPr>
    </w:lvl>
    <w:lvl w:ilvl="5" w:tplc="F1B0727A" w:tentative="1">
      <w:start w:val="1"/>
      <w:numFmt w:val="bullet"/>
      <w:lvlText w:val="•"/>
      <w:lvlJc w:val="left"/>
      <w:pPr>
        <w:tabs>
          <w:tab w:val="num" w:pos="4320"/>
        </w:tabs>
        <w:ind w:left="4320" w:hanging="360"/>
      </w:pPr>
      <w:rPr>
        <w:rFonts w:ascii="Times New Roman" w:hAnsi="Times New Roman" w:hint="default"/>
      </w:rPr>
    </w:lvl>
    <w:lvl w:ilvl="6" w:tplc="530C7990" w:tentative="1">
      <w:start w:val="1"/>
      <w:numFmt w:val="bullet"/>
      <w:lvlText w:val="•"/>
      <w:lvlJc w:val="left"/>
      <w:pPr>
        <w:tabs>
          <w:tab w:val="num" w:pos="5040"/>
        </w:tabs>
        <w:ind w:left="5040" w:hanging="360"/>
      </w:pPr>
      <w:rPr>
        <w:rFonts w:ascii="Times New Roman" w:hAnsi="Times New Roman" w:hint="default"/>
      </w:rPr>
    </w:lvl>
    <w:lvl w:ilvl="7" w:tplc="F3549542" w:tentative="1">
      <w:start w:val="1"/>
      <w:numFmt w:val="bullet"/>
      <w:lvlText w:val="•"/>
      <w:lvlJc w:val="left"/>
      <w:pPr>
        <w:tabs>
          <w:tab w:val="num" w:pos="5760"/>
        </w:tabs>
        <w:ind w:left="5760" w:hanging="360"/>
      </w:pPr>
      <w:rPr>
        <w:rFonts w:ascii="Times New Roman" w:hAnsi="Times New Roman" w:hint="default"/>
      </w:rPr>
    </w:lvl>
    <w:lvl w:ilvl="8" w:tplc="AAE49A5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EB069AE"/>
    <w:multiLevelType w:val="hybridMultilevel"/>
    <w:tmpl w:val="E67EF11E"/>
    <w:lvl w:ilvl="0" w:tplc="B2CE3CBE">
      <w:start w:val="1"/>
      <w:numFmt w:val="bullet"/>
      <w:lvlText w:val="•"/>
      <w:lvlJc w:val="left"/>
      <w:pPr>
        <w:tabs>
          <w:tab w:val="num" w:pos="720"/>
        </w:tabs>
        <w:ind w:left="720" w:hanging="360"/>
      </w:pPr>
      <w:rPr>
        <w:rFonts w:ascii="Times New Roman" w:hAnsi="Times New Roman" w:hint="default"/>
      </w:rPr>
    </w:lvl>
    <w:lvl w:ilvl="1" w:tplc="ABF8BD72" w:tentative="1">
      <w:start w:val="1"/>
      <w:numFmt w:val="bullet"/>
      <w:lvlText w:val="•"/>
      <w:lvlJc w:val="left"/>
      <w:pPr>
        <w:tabs>
          <w:tab w:val="num" w:pos="1440"/>
        </w:tabs>
        <w:ind w:left="1440" w:hanging="360"/>
      </w:pPr>
      <w:rPr>
        <w:rFonts w:ascii="Times New Roman" w:hAnsi="Times New Roman" w:hint="default"/>
      </w:rPr>
    </w:lvl>
    <w:lvl w:ilvl="2" w:tplc="3AB0F8DC" w:tentative="1">
      <w:start w:val="1"/>
      <w:numFmt w:val="bullet"/>
      <w:lvlText w:val="•"/>
      <w:lvlJc w:val="left"/>
      <w:pPr>
        <w:tabs>
          <w:tab w:val="num" w:pos="2160"/>
        </w:tabs>
        <w:ind w:left="2160" w:hanging="360"/>
      </w:pPr>
      <w:rPr>
        <w:rFonts w:ascii="Times New Roman" w:hAnsi="Times New Roman" w:hint="default"/>
      </w:rPr>
    </w:lvl>
    <w:lvl w:ilvl="3" w:tplc="A8322E06" w:tentative="1">
      <w:start w:val="1"/>
      <w:numFmt w:val="bullet"/>
      <w:lvlText w:val="•"/>
      <w:lvlJc w:val="left"/>
      <w:pPr>
        <w:tabs>
          <w:tab w:val="num" w:pos="2880"/>
        </w:tabs>
        <w:ind w:left="2880" w:hanging="360"/>
      </w:pPr>
      <w:rPr>
        <w:rFonts w:ascii="Times New Roman" w:hAnsi="Times New Roman" w:hint="default"/>
      </w:rPr>
    </w:lvl>
    <w:lvl w:ilvl="4" w:tplc="EAFED574" w:tentative="1">
      <w:start w:val="1"/>
      <w:numFmt w:val="bullet"/>
      <w:lvlText w:val="•"/>
      <w:lvlJc w:val="left"/>
      <w:pPr>
        <w:tabs>
          <w:tab w:val="num" w:pos="3600"/>
        </w:tabs>
        <w:ind w:left="3600" w:hanging="360"/>
      </w:pPr>
      <w:rPr>
        <w:rFonts w:ascii="Times New Roman" w:hAnsi="Times New Roman" w:hint="default"/>
      </w:rPr>
    </w:lvl>
    <w:lvl w:ilvl="5" w:tplc="7ECCF4A4" w:tentative="1">
      <w:start w:val="1"/>
      <w:numFmt w:val="bullet"/>
      <w:lvlText w:val="•"/>
      <w:lvlJc w:val="left"/>
      <w:pPr>
        <w:tabs>
          <w:tab w:val="num" w:pos="4320"/>
        </w:tabs>
        <w:ind w:left="4320" w:hanging="360"/>
      </w:pPr>
      <w:rPr>
        <w:rFonts w:ascii="Times New Roman" w:hAnsi="Times New Roman" w:hint="default"/>
      </w:rPr>
    </w:lvl>
    <w:lvl w:ilvl="6" w:tplc="EDB0022C" w:tentative="1">
      <w:start w:val="1"/>
      <w:numFmt w:val="bullet"/>
      <w:lvlText w:val="•"/>
      <w:lvlJc w:val="left"/>
      <w:pPr>
        <w:tabs>
          <w:tab w:val="num" w:pos="5040"/>
        </w:tabs>
        <w:ind w:left="5040" w:hanging="360"/>
      </w:pPr>
      <w:rPr>
        <w:rFonts w:ascii="Times New Roman" w:hAnsi="Times New Roman" w:hint="default"/>
      </w:rPr>
    </w:lvl>
    <w:lvl w:ilvl="7" w:tplc="9FD8B86A" w:tentative="1">
      <w:start w:val="1"/>
      <w:numFmt w:val="bullet"/>
      <w:lvlText w:val="•"/>
      <w:lvlJc w:val="left"/>
      <w:pPr>
        <w:tabs>
          <w:tab w:val="num" w:pos="5760"/>
        </w:tabs>
        <w:ind w:left="5760" w:hanging="360"/>
      </w:pPr>
      <w:rPr>
        <w:rFonts w:ascii="Times New Roman" w:hAnsi="Times New Roman" w:hint="default"/>
      </w:rPr>
    </w:lvl>
    <w:lvl w:ilvl="8" w:tplc="71AE9E8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FAA6802"/>
    <w:multiLevelType w:val="hybridMultilevel"/>
    <w:tmpl w:val="CFCEBD72"/>
    <w:lvl w:ilvl="0" w:tplc="37287FA8">
      <w:start w:val="1"/>
      <w:numFmt w:val="bullet"/>
      <w:lvlText w:val="•"/>
      <w:lvlJc w:val="left"/>
      <w:pPr>
        <w:tabs>
          <w:tab w:val="num" w:pos="720"/>
        </w:tabs>
        <w:ind w:left="720" w:hanging="360"/>
      </w:pPr>
      <w:rPr>
        <w:rFonts w:ascii="Times New Roman" w:hAnsi="Times New Roman" w:hint="default"/>
      </w:rPr>
    </w:lvl>
    <w:lvl w:ilvl="1" w:tplc="C53C20D4" w:tentative="1">
      <w:start w:val="1"/>
      <w:numFmt w:val="bullet"/>
      <w:lvlText w:val="•"/>
      <w:lvlJc w:val="left"/>
      <w:pPr>
        <w:tabs>
          <w:tab w:val="num" w:pos="1440"/>
        </w:tabs>
        <w:ind w:left="1440" w:hanging="360"/>
      </w:pPr>
      <w:rPr>
        <w:rFonts w:ascii="Times New Roman" w:hAnsi="Times New Roman" w:hint="default"/>
      </w:rPr>
    </w:lvl>
    <w:lvl w:ilvl="2" w:tplc="A8F8E5F2" w:tentative="1">
      <w:start w:val="1"/>
      <w:numFmt w:val="bullet"/>
      <w:lvlText w:val="•"/>
      <w:lvlJc w:val="left"/>
      <w:pPr>
        <w:tabs>
          <w:tab w:val="num" w:pos="2160"/>
        </w:tabs>
        <w:ind w:left="2160" w:hanging="360"/>
      </w:pPr>
      <w:rPr>
        <w:rFonts w:ascii="Times New Roman" w:hAnsi="Times New Roman" w:hint="default"/>
      </w:rPr>
    </w:lvl>
    <w:lvl w:ilvl="3" w:tplc="3880F11A" w:tentative="1">
      <w:start w:val="1"/>
      <w:numFmt w:val="bullet"/>
      <w:lvlText w:val="•"/>
      <w:lvlJc w:val="left"/>
      <w:pPr>
        <w:tabs>
          <w:tab w:val="num" w:pos="2880"/>
        </w:tabs>
        <w:ind w:left="2880" w:hanging="360"/>
      </w:pPr>
      <w:rPr>
        <w:rFonts w:ascii="Times New Roman" w:hAnsi="Times New Roman" w:hint="default"/>
      </w:rPr>
    </w:lvl>
    <w:lvl w:ilvl="4" w:tplc="27A8B978" w:tentative="1">
      <w:start w:val="1"/>
      <w:numFmt w:val="bullet"/>
      <w:lvlText w:val="•"/>
      <w:lvlJc w:val="left"/>
      <w:pPr>
        <w:tabs>
          <w:tab w:val="num" w:pos="3600"/>
        </w:tabs>
        <w:ind w:left="3600" w:hanging="360"/>
      </w:pPr>
      <w:rPr>
        <w:rFonts w:ascii="Times New Roman" w:hAnsi="Times New Roman" w:hint="default"/>
      </w:rPr>
    </w:lvl>
    <w:lvl w:ilvl="5" w:tplc="A594A96C" w:tentative="1">
      <w:start w:val="1"/>
      <w:numFmt w:val="bullet"/>
      <w:lvlText w:val="•"/>
      <w:lvlJc w:val="left"/>
      <w:pPr>
        <w:tabs>
          <w:tab w:val="num" w:pos="4320"/>
        </w:tabs>
        <w:ind w:left="4320" w:hanging="360"/>
      </w:pPr>
      <w:rPr>
        <w:rFonts w:ascii="Times New Roman" w:hAnsi="Times New Roman" w:hint="default"/>
      </w:rPr>
    </w:lvl>
    <w:lvl w:ilvl="6" w:tplc="07AA63F8" w:tentative="1">
      <w:start w:val="1"/>
      <w:numFmt w:val="bullet"/>
      <w:lvlText w:val="•"/>
      <w:lvlJc w:val="left"/>
      <w:pPr>
        <w:tabs>
          <w:tab w:val="num" w:pos="5040"/>
        </w:tabs>
        <w:ind w:left="5040" w:hanging="360"/>
      </w:pPr>
      <w:rPr>
        <w:rFonts w:ascii="Times New Roman" w:hAnsi="Times New Roman" w:hint="default"/>
      </w:rPr>
    </w:lvl>
    <w:lvl w:ilvl="7" w:tplc="A3E4F3FE" w:tentative="1">
      <w:start w:val="1"/>
      <w:numFmt w:val="bullet"/>
      <w:lvlText w:val="•"/>
      <w:lvlJc w:val="left"/>
      <w:pPr>
        <w:tabs>
          <w:tab w:val="num" w:pos="5760"/>
        </w:tabs>
        <w:ind w:left="5760" w:hanging="360"/>
      </w:pPr>
      <w:rPr>
        <w:rFonts w:ascii="Times New Roman" w:hAnsi="Times New Roman" w:hint="default"/>
      </w:rPr>
    </w:lvl>
    <w:lvl w:ilvl="8" w:tplc="05E2E6F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6"/>
  </w:num>
  <w:num w:numId="4">
    <w:abstractNumId w:val="9"/>
  </w:num>
  <w:num w:numId="5">
    <w:abstractNumId w:val="11"/>
  </w:num>
  <w:num w:numId="6">
    <w:abstractNumId w:val="10"/>
  </w:num>
  <w:num w:numId="7">
    <w:abstractNumId w:val="1"/>
  </w:num>
  <w:num w:numId="8">
    <w:abstractNumId w:val="4"/>
  </w:num>
  <w:num w:numId="9">
    <w:abstractNumId w:val="7"/>
  </w:num>
  <w:num w:numId="10">
    <w:abstractNumId w:val="7"/>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81"/>
    <w:rsid w:val="00005A8F"/>
    <w:rsid w:val="00025B56"/>
    <w:rsid w:val="00026A6F"/>
    <w:rsid w:val="000413B6"/>
    <w:rsid w:val="00075D94"/>
    <w:rsid w:val="00087D0E"/>
    <w:rsid w:val="000A6A97"/>
    <w:rsid w:val="000D13D1"/>
    <w:rsid w:val="000D653B"/>
    <w:rsid w:val="00113F7D"/>
    <w:rsid w:val="00117952"/>
    <w:rsid w:val="0012195D"/>
    <w:rsid w:val="00147858"/>
    <w:rsid w:val="001908F3"/>
    <w:rsid w:val="0019294F"/>
    <w:rsid w:val="001B7346"/>
    <w:rsid w:val="001D7958"/>
    <w:rsid w:val="00221631"/>
    <w:rsid w:val="00241F1C"/>
    <w:rsid w:val="002748E5"/>
    <w:rsid w:val="00280068"/>
    <w:rsid w:val="00280281"/>
    <w:rsid w:val="0028270B"/>
    <w:rsid w:val="002A560B"/>
    <w:rsid w:val="002D2BB6"/>
    <w:rsid w:val="002E5D87"/>
    <w:rsid w:val="002F2E05"/>
    <w:rsid w:val="002F2FA4"/>
    <w:rsid w:val="003653DF"/>
    <w:rsid w:val="003A654B"/>
    <w:rsid w:val="003B372C"/>
    <w:rsid w:val="003C174A"/>
    <w:rsid w:val="003E7320"/>
    <w:rsid w:val="00411E6B"/>
    <w:rsid w:val="00415799"/>
    <w:rsid w:val="004267D5"/>
    <w:rsid w:val="00441A2B"/>
    <w:rsid w:val="00464351"/>
    <w:rsid w:val="004A0A8F"/>
    <w:rsid w:val="004A683D"/>
    <w:rsid w:val="004D2593"/>
    <w:rsid w:val="004E183C"/>
    <w:rsid w:val="0051611B"/>
    <w:rsid w:val="00570BB5"/>
    <w:rsid w:val="005856B7"/>
    <w:rsid w:val="0059676C"/>
    <w:rsid w:val="005F32F0"/>
    <w:rsid w:val="00610CBC"/>
    <w:rsid w:val="006665C8"/>
    <w:rsid w:val="0067452E"/>
    <w:rsid w:val="006D2937"/>
    <w:rsid w:val="006D69B7"/>
    <w:rsid w:val="006D7E85"/>
    <w:rsid w:val="006E158A"/>
    <w:rsid w:val="006F58B3"/>
    <w:rsid w:val="00711898"/>
    <w:rsid w:val="00793719"/>
    <w:rsid w:val="007C4FBD"/>
    <w:rsid w:val="007D7D7D"/>
    <w:rsid w:val="00807A7B"/>
    <w:rsid w:val="00827176"/>
    <w:rsid w:val="00842DDC"/>
    <w:rsid w:val="00846D0C"/>
    <w:rsid w:val="00862C2A"/>
    <w:rsid w:val="008727A4"/>
    <w:rsid w:val="008A091A"/>
    <w:rsid w:val="008B5557"/>
    <w:rsid w:val="008D293B"/>
    <w:rsid w:val="0090606D"/>
    <w:rsid w:val="00947575"/>
    <w:rsid w:val="00965888"/>
    <w:rsid w:val="00974C97"/>
    <w:rsid w:val="00990FF3"/>
    <w:rsid w:val="009A0682"/>
    <w:rsid w:val="009D630A"/>
    <w:rsid w:val="009D76C5"/>
    <w:rsid w:val="009E5AD4"/>
    <w:rsid w:val="009F2076"/>
    <w:rsid w:val="00A037DC"/>
    <w:rsid w:val="00A218B2"/>
    <w:rsid w:val="00A27667"/>
    <w:rsid w:val="00A31AFB"/>
    <w:rsid w:val="00A352E3"/>
    <w:rsid w:val="00A52E17"/>
    <w:rsid w:val="00A91563"/>
    <w:rsid w:val="00A93088"/>
    <w:rsid w:val="00A974F3"/>
    <w:rsid w:val="00AD1C44"/>
    <w:rsid w:val="00AD6C09"/>
    <w:rsid w:val="00AE7953"/>
    <w:rsid w:val="00B047FC"/>
    <w:rsid w:val="00B41A8A"/>
    <w:rsid w:val="00B52CFB"/>
    <w:rsid w:val="00B53F66"/>
    <w:rsid w:val="00B97C63"/>
    <w:rsid w:val="00BA2B48"/>
    <w:rsid w:val="00BC3B73"/>
    <w:rsid w:val="00BD6A47"/>
    <w:rsid w:val="00C11775"/>
    <w:rsid w:val="00C87601"/>
    <w:rsid w:val="00CE2052"/>
    <w:rsid w:val="00CE2B2D"/>
    <w:rsid w:val="00D04F55"/>
    <w:rsid w:val="00D24E85"/>
    <w:rsid w:val="00D36209"/>
    <w:rsid w:val="00D64BD0"/>
    <w:rsid w:val="00D71326"/>
    <w:rsid w:val="00D936A1"/>
    <w:rsid w:val="00D967B2"/>
    <w:rsid w:val="00DB38C8"/>
    <w:rsid w:val="00DE4F63"/>
    <w:rsid w:val="00E002BD"/>
    <w:rsid w:val="00E15F5E"/>
    <w:rsid w:val="00E22D71"/>
    <w:rsid w:val="00EE5744"/>
    <w:rsid w:val="00EE641C"/>
    <w:rsid w:val="00F11221"/>
    <w:rsid w:val="00F34BDE"/>
    <w:rsid w:val="00F66B4E"/>
    <w:rsid w:val="00FA2DA4"/>
    <w:rsid w:val="00FB5942"/>
    <w:rsid w:val="00FD5E4E"/>
    <w:rsid w:val="00FD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5063C-A511-4938-82D4-658A5710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60B"/>
  </w:style>
  <w:style w:type="paragraph" w:styleId="1">
    <w:name w:val="heading 1"/>
    <w:basedOn w:val="a"/>
    <w:next w:val="a"/>
    <w:link w:val="10"/>
    <w:qFormat/>
    <w:rsid w:val="003653DF"/>
    <w:pPr>
      <w:keepNext/>
      <w:numPr>
        <w:numId w:val="12"/>
      </w:numPr>
      <w:suppressAutoHyphens/>
      <w:spacing w:after="0" w:line="240" w:lineRule="auto"/>
      <w:outlineLvl w:val="0"/>
    </w:pPr>
    <w:rPr>
      <w:rFonts w:ascii="Times New Roman" w:eastAsia="Times New Roman" w:hAnsi="Times New Roman" w:cs="Times New Roman"/>
      <w:sz w:val="24"/>
      <w:szCs w:val="20"/>
      <w:lang w:eastAsia="ar-SA"/>
    </w:rPr>
  </w:style>
  <w:style w:type="paragraph" w:styleId="2">
    <w:name w:val="heading 2"/>
    <w:basedOn w:val="a"/>
    <w:next w:val="a"/>
    <w:link w:val="20"/>
    <w:qFormat/>
    <w:rsid w:val="003653DF"/>
    <w:pPr>
      <w:keepNext/>
      <w:numPr>
        <w:ilvl w:val="1"/>
        <w:numId w:val="12"/>
      </w:numPr>
      <w:suppressAutoHyphens/>
      <w:spacing w:before="240" w:after="0" w:line="240" w:lineRule="auto"/>
      <w:jc w:val="center"/>
      <w:outlineLvl w:val="1"/>
    </w:pPr>
    <w:rPr>
      <w:rFonts w:ascii="Times New Roman" w:eastAsia="Times New Roman" w:hAnsi="Times New Roman" w:cs="Times New Roman"/>
      <w:spacing w:val="60"/>
      <w:sz w:val="28"/>
      <w:szCs w:val="20"/>
      <w:lang w:eastAsia="ar-SA"/>
    </w:rPr>
  </w:style>
  <w:style w:type="paragraph" w:styleId="3">
    <w:name w:val="heading 3"/>
    <w:basedOn w:val="a"/>
    <w:next w:val="a"/>
    <w:link w:val="30"/>
    <w:qFormat/>
    <w:rsid w:val="003653DF"/>
    <w:pPr>
      <w:keepNext/>
      <w:numPr>
        <w:ilvl w:val="2"/>
        <w:numId w:val="12"/>
      </w:numPr>
      <w:suppressAutoHyphens/>
      <w:spacing w:after="240" w:line="240" w:lineRule="auto"/>
      <w:jc w:val="center"/>
      <w:outlineLvl w:val="2"/>
    </w:pPr>
    <w:rPr>
      <w:rFonts w:ascii="Arial" w:eastAsia="Times New Roman" w:hAnsi="Arial" w:cs="Arial"/>
      <w:b/>
      <w:sz w:val="32"/>
      <w:szCs w:val="20"/>
      <w:lang w:eastAsia="ar-SA"/>
    </w:rPr>
  </w:style>
  <w:style w:type="paragraph" w:styleId="4">
    <w:name w:val="heading 4"/>
    <w:basedOn w:val="a"/>
    <w:next w:val="a"/>
    <w:link w:val="40"/>
    <w:qFormat/>
    <w:rsid w:val="003653DF"/>
    <w:pPr>
      <w:keepNext/>
      <w:numPr>
        <w:ilvl w:val="3"/>
        <w:numId w:val="12"/>
      </w:numPr>
      <w:suppressAutoHyphens/>
      <w:spacing w:after="0" w:line="360" w:lineRule="auto"/>
      <w:jc w:val="center"/>
      <w:outlineLvl w:val="3"/>
    </w:pPr>
    <w:rPr>
      <w:rFonts w:ascii="Arial" w:eastAsia="Times New Roman" w:hAnsi="Arial" w:cs="Arial"/>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СПИСОК Знак,List Paragraph Знак,cko-Список Знак,Уровент 2.2 Знак,Абзац списка4 Знак,Нумерованный Знак,Абзац списка ЭкспертЪ Знак,Bullet List Знак,FooterText Знак,numbered Знак,Table-Normal Знак,RSHB_Table-Normal Знак,lp1 Знак,UL Знак"/>
    <w:link w:val="a4"/>
    <w:uiPriority w:val="34"/>
    <w:qFormat/>
    <w:locked/>
    <w:rsid w:val="0067452E"/>
    <w:rPr>
      <w:rFonts w:ascii="Calibri" w:eastAsia="Calibri" w:hAnsi="Calibri" w:cs="Times New Roman"/>
    </w:rPr>
  </w:style>
  <w:style w:type="paragraph" w:styleId="a4">
    <w:name w:val="List Paragraph"/>
    <w:aliases w:val="СПИСОК,List Paragraph,cko-Список,Уровент 2.2,Абзац списка4,Нумерованный,Абзац списка ЭкспертЪ,Bullet List,FooterText,numbered,Table-Normal,RSHB_Table-Normal,Paragraphe de liste1,lp1,ПАРАГРАФ,SL_Абзац списка,Нумерованый список,СпБезКС,UL"/>
    <w:basedOn w:val="a"/>
    <w:link w:val="a3"/>
    <w:uiPriority w:val="34"/>
    <w:qFormat/>
    <w:rsid w:val="0067452E"/>
    <w:pPr>
      <w:spacing w:after="200" w:line="276" w:lineRule="auto"/>
      <w:ind w:left="720"/>
      <w:contextualSpacing/>
    </w:pPr>
    <w:rPr>
      <w:rFonts w:ascii="Calibri" w:eastAsia="Calibri" w:hAnsi="Calibri" w:cs="Times New Roman"/>
    </w:rPr>
  </w:style>
  <w:style w:type="character" w:styleId="a5">
    <w:name w:val="Subtle Emphasis"/>
    <w:basedOn w:val="a0"/>
    <w:uiPriority w:val="19"/>
    <w:qFormat/>
    <w:rsid w:val="0067452E"/>
    <w:rPr>
      <w:i/>
      <w:iCs/>
      <w:color w:val="404040" w:themeColor="text1" w:themeTint="BF"/>
    </w:rPr>
  </w:style>
  <w:style w:type="character" w:customStyle="1" w:styleId="apple-style-span">
    <w:name w:val="apple-style-span"/>
    <w:basedOn w:val="a0"/>
    <w:rsid w:val="0067452E"/>
  </w:style>
  <w:style w:type="paragraph" w:styleId="a6">
    <w:name w:val="Body Text Indent"/>
    <w:basedOn w:val="a"/>
    <w:link w:val="a7"/>
    <w:uiPriority w:val="99"/>
    <w:unhideWhenUsed/>
    <w:rsid w:val="00D967B2"/>
    <w:pPr>
      <w:spacing w:after="120" w:line="276" w:lineRule="auto"/>
      <w:ind w:left="283"/>
    </w:pPr>
    <w:rPr>
      <w:rFonts w:ascii="Calibri" w:eastAsia="Calibri" w:hAnsi="Calibri" w:cs="Times New Roman"/>
    </w:rPr>
  </w:style>
  <w:style w:type="character" w:customStyle="1" w:styleId="a7">
    <w:name w:val="Основной текст с отступом Знак"/>
    <w:basedOn w:val="a0"/>
    <w:link w:val="a6"/>
    <w:uiPriority w:val="99"/>
    <w:rsid w:val="00D967B2"/>
    <w:rPr>
      <w:rFonts w:ascii="Calibri" w:eastAsia="Calibri" w:hAnsi="Calibri" w:cs="Times New Roman"/>
    </w:rPr>
  </w:style>
  <w:style w:type="paragraph" w:customStyle="1" w:styleId="a8">
    <w:name w:val="Знак Знак Знак Знак Знак Знак"/>
    <w:basedOn w:val="a"/>
    <w:rsid w:val="00D967B2"/>
    <w:pPr>
      <w:tabs>
        <w:tab w:val="num" w:pos="360"/>
      </w:tabs>
      <w:spacing w:line="240" w:lineRule="exact"/>
    </w:pPr>
    <w:rPr>
      <w:rFonts w:ascii="Verdana" w:eastAsia="Times New Roman" w:hAnsi="Verdana" w:cs="Verdana"/>
      <w:sz w:val="20"/>
      <w:szCs w:val="20"/>
      <w:lang w:val="en-US"/>
    </w:rPr>
  </w:style>
  <w:style w:type="paragraph" w:styleId="21">
    <w:name w:val="Body Text Indent 2"/>
    <w:basedOn w:val="a"/>
    <w:link w:val="22"/>
    <w:rsid w:val="005856B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856B7"/>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7D7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93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A218B2"/>
    <w:rPr>
      <w:b/>
      <w:bCs/>
    </w:rPr>
  </w:style>
  <w:style w:type="paragraph" w:styleId="ab">
    <w:name w:val="header"/>
    <w:basedOn w:val="a"/>
    <w:link w:val="ac"/>
    <w:uiPriority w:val="99"/>
    <w:unhideWhenUsed/>
    <w:rsid w:val="00075D9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75D94"/>
  </w:style>
  <w:style w:type="paragraph" w:styleId="ad">
    <w:name w:val="footer"/>
    <w:basedOn w:val="a"/>
    <w:link w:val="ae"/>
    <w:uiPriority w:val="99"/>
    <w:unhideWhenUsed/>
    <w:rsid w:val="00075D9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75D94"/>
  </w:style>
  <w:style w:type="character" w:customStyle="1" w:styleId="10">
    <w:name w:val="Заголовок 1 Знак"/>
    <w:basedOn w:val="a0"/>
    <w:link w:val="1"/>
    <w:rsid w:val="003653DF"/>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3653DF"/>
    <w:rPr>
      <w:rFonts w:ascii="Times New Roman" w:eastAsia="Times New Roman" w:hAnsi="Times New Roman" w:cs="Times New Roman"/>
      <w:spacing w:val="60"/>
      <w:sz w:val="28"/>
      <w:szCs w:val="20"/>
      <w:lang w:eastAsia="ar-SA"/>
    </w:rPr>
  </w:style>
  <w:style w:type="character" w:customStyle="1" w:styleId="30">
    <w:name w:val="Заголовок 3 Знак"/>
    <w:basedOn w:val="a0"/>
    <w:link w:val="3"/>
    <w:rsid w:val="003653DF"/>
    <w:rPr>
      <w:rFonts w:ascii="Arial" w:eastAsia="Times New Roman" w:hAnsi="Arial" w:cs="Arial"/>
      <w:b/>
      <w:sz w:val="32"/>
      <w:szCs w:val="20"/>
      <w:lang w:eastAsia="ar-SA"/>
    </w:rPr>
  </w:style>
  <w:style w:type="character" w:customStyle="1" w:styleId="40">
    <w:name w:val="Заголовок 4 Знак"/>
    <w:basedOn w:val="a0"/>
    <w:link w:val="4"/>
    <w:rsid w:val="003653DF"/>
    <w:rPr>
      <w:rFonts w:ascii="Arial" w:eastAsia="Times New Roman" w:hAnsi="Arial" w:cs="Arial"/>
      <w:sz w:val="24"/>
      <w:szCs w:val="20"/>
      <w:lang w:eastAsia="ar-SA"/>
    </w:rPr>
  </w:style>
  <w:style w:type="paragraph" w:styleId="af">
    <w:name w:val="Balloon Text"/>
    <w:basedOn w:val="a"/>
    <w:link w:val="af0"/>
    <w:uiPriority w:val="99"/>
    <w:semiHidden/>
    <w:unhideWhenUsed/>
    <w:rsid w:val="009D76C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D76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4325">
      <w:bodyDiv w:val="1"/>
      <w:marLeft w:val="0"/>
      <w:marRight w:val="0"/>
      <w:marTop w:val="0"/>
      <w:marBottom w:val="0"/>
      <w:divBdr>
        <w:top w:val="none" w:sz="0" w:space="0" w:color="auto"/>
        <w:left w:val="none" w:sz="0" w:space="0" w:color="auto"/>
        <w:bottom w:val="none" w:sz="0" w:space="0" w:color="auto"/>
        <w:right w:val="none" w:sz="0" w:space="0" w:color="auto"/>
      </w:divBdr>
    </w:div>
    <w:div w:id="55132061">
      <w:bodyDiv w:val="1"/>
      <w:marLeft w:val="0"/>
      <w:marRight w:val="0"/>
      <w:marTop w:val="0"/>
      <w:marBottom w:val="0"/>
      <w:divBdr>
        <w:top w:val="none" w:sz="0" w:space="0" w:color="auto"/>
        <w:left w:val="none" w:sz="0" w:space="0" w:color="auto"/>
        <w:bottom w:val="none" w:sz="0" w:space="0" w:color="auto"/>
        <w:right w:val="none" w:sz="0" w:space="0" w:color="auto"/>
      </w:divBdr>
    </w:div>
    <w:div w:id="100609720">
      <w:bodyDiv w:val="1"/>
      <w:marLeft w:val="0"/>
      <w:marRight w:val="0"/>
      <w:marTop w:val="0"/>
      <w:marBottom w:val="0"/>
      <w:divBdr>
        <w:top w:val="none" w:sz="0" w:space="0" w:color="auto"/>
        <w:left w:val="none" w:sz="0" w:space="0" w:color="auto"/>
        <w:bottom w:val="none" w:sz="0" w:space="0" w:color="auto"/>
        <w:right w:val="none" w:sz="0" w:space="0" w:color="auto"/>
      </w:divBdr>
    </w:div>
    <w:div w:id="101150939">
      <w:bodyDiv w:val="1"/>
      <w:marLeft w:val="0"/>
      <w:marRight w:val="0"/>
      <w:marTop w:val="0"/>
      <w:marBottom w:val="0"/>
      <w:divBdr>
        <w:top w:val="none" w:sz="0" w:space="0" w:color="auto"/>
        <w:left w:val="none" w:sz="0" w:space="0" w:color="auto"/>
        <w:bottom w:val="none" w:sz="0" w:space="0" w:color="auto"/>
        <w:right w:val="none" w:sz="0" w:space="0" w:color="auto"/>
      </w:divBdr>
      <w:divsChild>
        <w:div w:id="409040574">
          <w:marLeft w:val="547"/>
          <w:marRight w:val="0"/>
          <w:marTop w:val="0"/>
          <w:marBottom w:val="0"/>
          <w:divBdr>
            <w:top w:val="none" w:sz="0" w:space="0" w:color="auto"/>
            <w:left w:val="none" w:sz="0" w:space="0" w:color="auto"/>
            <w:bottom w:val="none" w:sz="0" w:space="0" w:color="auto"/>
            <w:right w:val="none" w:sz="0" w:space="0" w:color="auto"/>
          </w:divBdr>
        </w:div>
        <w:div w:id="767166331">
          <w:marLeft w:val="547"/>
          <w:marRight w:val="0"/>
          <w:marTop w:val="0"/>
          <w:marBottom w:val="0"/>
          <w:divBdr>
            <w:top w:val="none" w:sz="0" w:space="0" w:color="auto"/>
            <w:left w:val="none" w:sz="0" w:space="0" w:color="auto"/>
            <w:bottom w:val="none" w:sz="0" w:space="0" w:color="auto"/>
            <w:right w:val="none" w:sz="0" w:space="0" w:color="auto"/>
          </w:divBdr>
        </w:div>
      </w:divsChild>
    </w:div>
    <w:div w:id="118227845">
      <w:bodyDiv w:val="1"/>
      <w:marLeft w:val="0"/>
      <w:marRight w:val="0"/>
      <w:marTop w:val="0"/>
      <w:marBottom w:val="0"/>
      <w:divBdr>
        <w:top w:val="none" w:sz="0" w:space="0" w:color="auto"/>
        <w:left w:val="none" w:sz="0" w:space="0" w:color="auto"/>
        <w:bottom w:val="none" w:sz="0" w:space="0" w:color="auto"/>
        <w:right w:val="none" w:sz="0" w:space="0" w:color="auto"/>
      </w:divBdr>
    </w:div>
    <w:div w:id="143856059">
      <w:bodyDiv w:val="1"/>
      <w:marLeft w:val="0"/>
      <w:marRight w:val="0"/>
      <w:marTop w:val="0"/>
      <w:marBottom w:val="0"/>
      <w:divBdr>
        <w:top w:val="none" w:sz="0" w:space="0" w:color="auto"/>
        <w:left w:val="none" w:sz="0" w:space="0" w:color="auto"/>
        <w:bottom w:val="none" w:sz="0" w:space="0" w:color="auto"/>
        <w:right w:val="none" w:sz="0" w:space="0" w:color="auto"/>
      </w:divBdr>
    </w:div>
    <w:div w:id="170144131">
      <w:bodyDiv w:val="1"/>
      <w:marLeft w:val="0"/>
      <w:marRight w:val="0"/>
      <w:marTop w:val="0"/>
      <w:marBottom w:val="0"/>
      <w:divBdr>
        <w:top w:val="none" w:sz="0" w:space="0" w:color="auto"/>
        <w:left w:val="none" w:sz="0" w:space="0" w:color="auto"/>
        <w:bottom w:val="none" w:sz="0" w:space="0" w:color="auto"/>
        <w:right w:val="none" w:sz="0" w:space="0" w:color="auto"/>
      </w:divBdr>
    </w:div>
    <w:div w:id="170414538">
      <w:bodyDiv w:val="1"/>
      <w:marLeft w:val="0"/>
      <w:marRight w:val="0"/>
      <w:marTop w:val="0"/>
      <w:marBottom w:val="0"/>
      <w:divBdr>
        <w:top w:val="none" w:sz="0" w:space="0" w:color="auto"/>
        <w:left w:val="none" w:sz="0" w:space="0" w:color="auto"/>
        <w:bottom w:val="none" w:sz="0" w:space="0" w:color="auto"/>
        <w:right w:val="none" w:sz="0" w:space="0" w:color="auto"/>
      </w:divBdr>
    </w:div>
    <w:div w:id="174079684">
      <w:bodyDiv w:val="1"/>
      <w:marLeft w:val="0"/>
      <w:marRight w:val="0"/>
      <w:marTop w:val="0"/>
      <w:marBottom w:val="0"/>
      <w:divBdr>
        <w:top w:val="none" w:sz="0" w:space="0" w:color="auto"/>
        <w:left w:val="none" w:sz="0" w:space="0" w:color="auto"/>
        <w:bottom w:val="none" w:sz="0" w:space="0" w:color="auto"/>
        <w:right w:val="none" w:sz="0" w:space="0" w:color="auto"/>
      </w:divBdr>
    </w:div>
    <w:div w:id="223151163">
      <w:bodyDiv w:val="1"/>
      <w:marLeft w:val="0"/>
      <w:marRight w:val="0"/>
      <w:marTop w:val="0"/>
      <w:marBottom w:val="0"/>
      <w:divBdr>
        <w:top w:val="none" w:sz="0" w:space="0" w:color="auto"/>
        <w:left w:val="none" w:sz="0" w:space="0" w:color="auto"/>
        <w:bottom w:val="none" w:sz="0" w:space="0" w:color="auto"/>
        <w:right w:val="none" w:sz="0" w:space="0" w:color="auto"/>
      </w:divBdr>
    </w:div>
    <w:div w:id="236987502">
      <w:bodyDiv w:val="1"/>
      <w:marLeft w:val="0"/>
      <w:marRight w:val="0"/>
      <w:marTop w:val="0"/>
      <w:marBottom w:val="0"/>
      <w:divBdr>
        <w:top w:val="none" w:sz="0" w:space="0" w:color="auto"/>
        <w:left w:val="none" w:sz="0" w:space="0" w:color="auto"/>
        <w:bottom w:val="none" w:sz="0" w:space="0" w:color="auto"/>
        <w:right w:val="none" w:sz="0" w:space="0" w:color="auto"/>
      </w:divBdr>
      <w:divsChild>
        <w:div w:id="260724978">
          <w:marLeft w:val="547"/>
          <w:marRight w:val="0"/>
          <w:marTop w:val="0"/>
          <w:marBottom w:val="0"/>
          <w:divBdr>
            <w:top w:val="none" w:sz="0" w:space="0" w:color="auto"/>
            <w:left w:val="none" w:sz="0" w:space="0" w:color="auto"/>
            <w:bottom w:val="none" w:sz="0" w:space="0" w:color="auto"/>
            <w:right w:val="none" w:sz="0" w:space="0" w:color="auto"/>
          </w:divBdr>
        </w:div>
        <w:div w:id="1463308304">
          <w:marLeft w:val="547"/>
          <w:marRight w:val="0"/>
          <w:marTop w:val="0"/>
          <w:marBottom w:val="0"/>
          <w:divBdr>
            <w:top w:val="none" w:sz="0" w:space="0" w:color="auto"/>
            <w:left w:val="none" w:sz="0" w:space="0" w:color="auto"/>
            <w:bottom w:val="none" w:sz="0" w:space="0" w:color="auto"/>
            <w:right w:val="none" w:sz="0" w:space="0" w:color="auto"/>
          </w:divBdr>
        </w:div>
      </w:divsChild>
    </w:div>
    <w:div w:id="245265467">
      <w:bodyDiv w:val="1"/>
      <w:marLeft w:val="0"/>
      <w:marRight w:val="0"/>
      <w:marTop w:val="0"/>
      <w:marBottom w:val="0"/>
      <w:divBdr>
        <w:top w:val="none" w:sz="0" w:space="0" w:color="auto"/>
        <w:left w:val="none" w:sz="0" w:space="0" w:color="auto"/>
        <w:bottom w:val="none" w:sz="0" w:space="0" w:color="auto"/>
        <w:right w:val="none" w:sz="0" w:space="0" w:color="auto"/>
      </w:divBdr>
    </w:div>
    <w:div w:id="266429697">
      <w:bodyDiv w:val="1"/>
      <w:marLeft w:val="0"/>
      <w:marRight w:val="0"/>
      <w:marTop w:val="0"/>
      <w:marBottom w:val="0"/>
      <w:divBdr>
        <w:top w:val="none" w:sz="0" w:space="0" w:color="auto"/>
        <w:left w:val="none" w:sz="0" w:space="0" w:color="auto"/>
        <w:bottom w:val="none" w:sz="0" w:space="0" w:color="auto"/>
        <w:right w:val="none" w:sz="0" w:space="0" w:color="auto"/>
      </w:divBdr>
    </w:div>
    <w:div w:id="308218060">
      <w:bodyDiv w:val="1"/>
      <w:marLeft w:val="0"/>
      <w:marRight w:val="0"/>
      <w:marTop w:val="0"/>
      <w:marBottom w:val="0"/>
      <w:divBdr>
        <w:top w:val="none" w:sz="0" w:space="0" w:color="auto"/>
        <w:left w:val="none" w:sz="0" w:space="0" w:color="auto"/>
        <w:bottom w:val="none" w:sz="0" w:space="0" w:color="auto"/>
        <w:right w:val="none" w:sz="0" w:space="0" w:color="auto"/>
      </w:divBdr>
    </w:div>
    <w:div w:id="325481683">
      <w:bodyDiv w:val="1"/>
      <w:marLeft w:val="0"/>
      <w:marRight w:val="0"/>
      <w:marTop w:val="0"/>
      <w:marBottom w:val="0"/>
      <w:divBdr>
        <w:top w:val="none" w:sz="0" w:space="0" w:color="auto"/>
        <w:left w:val="none" w:sz="0" w:space="0" w:color="auto"/>
        <w:bottom w:val="none" w:sz="0" w:space="0" w:color="auto"/>
        <w:right w:val="none" w:sz="0" w:space="0" w:color="auto"/>
      </w:divBdr>
    </w:div>
    <w:div w:id="328943719">
      <w:bodyDiv w:val="1"/>
      <w:marLeft w:val="0"/>
      <w:marRight w:val="0"/>
      <w:marTop w:val="0"/>
      <w:marBottom w:val="0"/>
      <w:divBdr>
        <w:top w:val="none" w:sz="0" w:space="0" w:color="auto"/>
        <w:left w:val="none" w:sz="0" w:space="0" w:color="auto"/>
        <w:bottom w:val="none" w:sz="0" w:space="0" w:color="auto"/>
        <w:right w:val="none" w:sz="0" w:space="0" w:color="auto"/>
      </w:divBdr>
    </w:div>
    <w:div w:id="375394843">
      <w:bodyDiv w:val="1"/>
      <w:marLeft w:val="0"/>
      <w:marRight w:val="0"/>
      <w:marTop w:val="0"/>
      <w:marBottom w:val="0"/>
      <w:divBdr>
        <w:top w:val="none" w:sz="0" w:space="0" w:color="auto"/>
        <w:left w:val="none" w:sz="0" w:space="0" w:color="auto"/>
        <w:bottom w:val="none" w:sz="0" w:space="0" w:color="auto"/>
        <w:right w:val="none" w:sz="0" w:space="0" w:color="auto"/>
      </w:divBdr>
    </w:div>
    <w:div w:id="385110675">
      <w:bodyDiv w:val="1"/>
      <w:marLeft w:val="0"/>
      <w:marRight w:val="0"/>
      <w:marTop w:val="0"/>
      <w:marBottom w:val="0"/>
      <w:divBdr>
        <w:top w:val="none" w:sz="0" w:space="0" w:color="auto"/>
        <w:left w:val="none" w:sz="0" w:space="0" w:color="auto"/>
        <w:bottom w:val="none" w:sz="0" w:space="0" w:color="auto"/>
        <w:right w:val="none" w:sz="0" w:space="0" w:color="auto"/>
      </w:divBdr>
    </w:div>
    <w:div w:id="406075763">
      <w:bodyDiv w:val="1"/>
      <w:marLeft w:val="0"/>
      <w:marRight w:val="0"/>
      <w:marTop w:val="0"/>
      <w:marBottom w:val="0"/>
      <w:divBdr>
        <w:top w:val="none" w:sz="0" w:space="0" w:color="auto"/>
        <w:left w:val="none" w:sz="0" w:space="0" w:color="auto"/>
        <w:bottom w:val="none" w:sz="0" w:space="0" w:color="auto"/>
        <w:right w:val="none" w:sz="0" w:space="0" w:color="auto"/>
      </w:divBdr>
    </w:div>
    <w:div w:id="413169303">
      <w:bodyDiv w:val="1"/>
      <w:marLeft w:val="0"/>
      <w:marRight w:val="0"/>
      <w:marTop w:val="0"/>
      <w:marBottom w:val="0"/>
      <w:divBdr>
        <w:top w:val="none" w:sz="0" w:space="0" w:color="auto"/>
        <w:left w:val="none" w:sz="0" w:space="0" w:color="auto"/>
        <w:bottom w:val="none" w:sz="0" w:space="0" w:color="auto"/>
        <w:right w:val="none" w:sz="0" w:space="0" w:color="auto"/>
      </w:divBdr>
    </w:div>
    <w:div w:id="416943664">
      <w:bodyDiv w:val="1"/>
      <w:marLeft w:val="0"/>
      <w:marRight w:val="0"/>
      <w:marTop w:val="0"/>
      <w:marBottom w:val="0"/>
      <w:divBdr>
        <w:top w:val="none" w:sz="0" w:space="0" w:color="auto"/>
        <w:left w:val="none" w:sz="0" w:space="0" w:color="auto"/>
        <w:bottom w:val="none" w:sz="0" w:space="0" w:color="auto"/>
        <w:right w:val="none" w:sz="0" w:space="0" w:color="auto"/>
      </w:divBdr>
    </w:div>
    <w:div w:id="441144856">
      <w:bodyDiv w:val="1"/>
      <w:marLeft w:val="0"/>
      <w:marRight w:val="0"/>
      <w:marTop w:val="0"/>
      <w:marBottom w:val="0"/>
      <w:divBdr>
        <w:top w:val="none" w:sz="0" w:space="0" w:color="auto"/>
        <w:left w:val="none" w:sz="0" w:space="0" w:color="auto"/>
        <w:bottom w:val="none" w:sz="0" w:space="0" w:color="auto"/>
        <w:right w:val="none" w:sz="0" w:space="0" w:color="auto"/>
      </w:divBdr>
    </w:div>
    <w:div w:id="452596346">
      <w:bodyDiv w:val="1"/>
      <w:marLeft w:val="0"/>
      <w:marRight w:val="0"/>
      <w:marTop w:val="0"/>
      <w:marBottom w:val="0"/>
      <w:divBdr>
        <w:top w:val="none" w:sz="0" w:space="0" w:color="auto"/>
        <w:left w:val="none" w:sz="0" w:space="0" w:color="auto"/>
        <w:bottom w:val="none" w:sz="0" w:space="0" w:color="auto"/>
        <w:right w:val="none" w:sz="0" w:space="0" w:color="auto"/>
      </w:divBdr>
    </w:div>
    <w:div w:id="496968270">
      <w:bodyDiv w:val="1"/>
      <w:marLeft w:val="0"/>
      <w:marRight w:val="0"/>
      <w:marTop w:val="0"/>
      <w:marBottom w:val="0"/>
      <w:divBdr>
        <w:top w:val="none" w:sz="0" w:space="0" w:color="auto"/>
        <w:left w:val="none" w:sz="0" w:space="0" w:color="auto"/>
        <w:bottom w:val="none" w:sz="0" w:space="0" w:color="auto"/>
        <w:right w:val="none" w:sz="0" w:space="0" w:color="auto"/>
      </w:divBdr>
    </w:div>
    <w:div w:id="506754212">
      <w:bodyDiv w:val="1"/>
      <w:marLeft w:val="0"/>
      <w:marRight w:val="0"/>
      <w:marTop w:val="0"/>
      <w:marBottom w:val="0"/>
      <w:divBdr>
        <w:top w:val="none" w:sz="0" w:space="0" w:color="auto"/>
        <w:left w:val="none" w:sz="0" w:space="0" w:color="auto"/>
        <w:bottom w:val="none" w:sz="0" w:space="0" w:color="auto"/>
        <w:right w:val="none" w:sz="0" w:space="0" w:color="auto"/>
      </w:divBdr>
    </w:div>
    <w:div w:id="524683928">
      <w:bodyDiv w:val="1"/>
      <w:marLeft w:val="0"/>
      <w:marRight w:val="0"/>
      <w:marTop w:val="0"/>
      <w:marBottom w:val="0"/>
      <w:divBdr>
        <w:top w:val="none" w:sz="0" w:space="0" w:color="auto"/>
        <w:left w:val="none" w:sz="0" w:space="0" w:color="auto"/>
        <w:bottom w:val="none" w:sz="0" w:space="0" w:color="auto"/>
        <w:right w:val="none" w:sz="0" w:space="0" w:color="auto"/>
      </w:divBdr>
      <w:divsChild>
        <w:div w:id="1660303208">
          <w:marLeft w:val="547"/>
          <w:marRight w:val="0"/>
          <w:marTop w:val="0"/>
          <w:marBottom w:val="0"/>
          <w:divBdr>
            <w:top w:val="none" w:sz="0" w:space="0" w:color="auto"/>
            <w:left w:val="none" w:sz="0" w:space="0" w:color="auto"/>
            <w:bottom w:val="none" w:sz="0" w:space="0" w:color="auto"/>
            <w:right w:val="none" w:sz="0" w:space="0" w:color="auto"/>
          </w:divBdr>
        </w:div>
      </w:divsChild>
    </w:div>
    <w:div w:id="525413260">
      <w:bodyDiv w:val="1"/>
      <w:marLeft w:val="0"/>
      <w:marRight w:val="0"/>
      <w:marTop w:val="0"/>
      <w:marBottom w:val="0"/>
      <w:divBdr>
        <w:top w:val="none" w:sz="0" w:space="0" w:color="auto"/>
        <w:left w:val="none" w:sz="0" w:space="0" w:color="auto"/>
        <w:bottom w:val="none" w:sz="0" w:space="0" w:color="auto"/>
        <w:right w:val="none" w:sz="0" w:space="0" w:color="auto"/>
      </w:divBdr>
    </w:div>
    <w:div w:id="551504836">
      <w:bodyDiv w:val="1"/>
      <w:marLeft w:val="0"/>
      <w:marRight w:val="0"/>
      <w:marTop w:val="0"/>
      <w:marBottom w:val="0"/>
      <w:divBdr>
        <w:top w:val="none" w:sz="0" w:space="0" w:color="auto"/>
        <w:left w:val="none" w:sz="0" w:space="0" w:color="auto"/>
        <w:bottom w:val="none" w:sz="0" w:space="0" w:color="auto"/>
        <w:right w:val="none" w:sz="0" w:space="0" w:color="auto"/>
      </w:divBdr>
    </w:div>
    <w:div w:id="568467444">
      <w:bodyDiv w:val="1"/>
      <w:marLeft w:val="0"/>
      <w:marRight w:val="0"/>
      <w:marTop w:val="0"/>
      <w:marBottom w:val="0"/>
      <w:divBdr>
        <w:top w:val="none" w:sz="0" w:space="0" w:color="auto"/>
        <w:left w:val="none" w:sz="0" w:space="0" w:color="auto"/>
        <w:bottom w:val="none" w:sz="0" w:space="0" w:color="auto"/>
        <w:right w:val="none" w:sz="0" w:space="0" w:color="auto"/>
      </w:divBdr>
    </w:div>
    <w:div w:id="629628083">
      <w:bodyDiv w:val="1"/>
      <w:marLeft w:val="0"/>
      <w:marRight w:val="0"/>
      <w:marTop w:val="0"/>
      <w:marBottom w:val="0"/>
      <w:divBdr>
        <w:top w:val="none" w:sz="0" w:space="0" w:color="auto"/>
        <w:left w:val="none" w:sz="0" w:space="0" w:color="auto"/>
        <w:bottom w:val="none" w:sz="0" w:space="0" w:color="auto"/>
        <w:right w:val="none" w:sz="0" w:space="0" w:color="auto"/>
      </w:divBdr>
    </w:div>
    <w:div w:id="704914252">
      <w:bodyDiv w:val="1"/>
      <w:marLeft w:val="0"/>
      <w:marRight w:val="0"/>
      <w:marTop w:val="0"/>
      <w:marBottom w:val="0"/>
      <w:divBdr>
        <w:top w:val="none" w:sz="0" w:space="0" w:color="auto"/>
        <w:left w:val="none" w:sz="0" w:space="0" w:color="auto"/>
        <w:bottom w:val="none" w:sz="0" w:space="0" w:color="auto"/>
        <w:right w:val="none" w:sz="0" w:space="0" w:color="auto"/>
      </w:divBdr>
      <w:divsChild>
        <w:div w:id="600457712">
          <w:marLeft w:val="547"/>
          <w:marRight w:val="0"/>
          <w:marTop w:val="0"/>
          <w:marBottom w:val="0"/>
          <w:divBdr>
            <w:top w:val="none" w:sz="0" w:space="0" w:color="auto"/>
            <w:left w:val="none" w:sz="0" w:space="0" w:color="auto"/>
            <w:bottom w:val="none" w:sz="0" w:space="0" w:color="auto"/>
            <w:right w:val="none" w:sz="0" w:space="0" w:color="auto"/>
          </w:divBdr>
        </w:div>
      </w:divsChild>
    </w:div>
    <w:div w:id="755905799">
      <w:bodyDiv w:val="1"/>
      <w:marLeft w:val="0"/>
      <w:marRight w:val="0"/>
      <w:marTop w:val="0"/>
      <w:marBottom w:val="0"/>
      <w:divBdr>
        <w:top w:val="none" w:sz="0" w:space="0" w:color="auto"/>
        <w:left w:val="none" w:sz="0" w:space="0" w:color="auto"/>
        <w:bottom w:val="none" w:sz="0" w:space="0" w:color="auto"/>
        <w:right w:val="none" w:sz="0" w:space="0" w:color="auto"/>
      </w:divBdr>
    </w:div>
    <w:div w:id="756098436">
      <w:bodyDiv w:val="1"/>
      <w:marLeft w:val="0"/>
      <w:marRight w:val="0"/>
      <w:marTop w:val="0"/>
      <w:marBottom w:val="0"/>
      <w:divBdr>
        <w:top w:val="none" w:sz="0" w:space="0" w:color="auto"/>
        <w:left w:val="none" w:sz="0" w:space="0" w:color="auto"/>
        <w:bottom w:val="none" w:sz="0" w:space="0" w:color="auto"/>
        <w:right w:val="none" w:sz="0" w:space="0" w:color="auto"/>
      </w:divBdr>
    </w:div>
    <w:div w:id="758258012">
      <w:bodyDiv w:val="1"/>
      <w:marLeft w:val="0"/>
      <w:marRight w:val="0"/>
      <w:marTop w:val="0"/>
      <w:marBottom w:val="0"/>
      <w:divBdr>
        <w:top w:val="none" w:sz="0" w:space="0" w:color="auto"/>
        <w:left w:val="none" w:sz="0" w:space="0" w:color="auto"/>
        <w:bottom w:val="none" w:sz="0" w:space="0" w:color="auto"/>
        <w:right w:val="none" w:sz="0" w:space="0" w:color="auto"/>
      </w:divBdr>
    </w:div>
    <w:div w:id="766971320">
      <w:bodyDiv w:val="1"/>
      <w:marLeft w:val="0"/>
      <w:marRight w:val="0"/>
      <w:marTop w:val="0"/>
      <w:marBottom w:val="0"/>
      <w:divBdr>
        <w:top w:val="none" w:sz="0" w:space="0" w:color="auto"/>
        <w:left w:val="none" w:sz="0" w:space="0" w:color="auto"/>
        <w:bottom w:val="none" w:sz="0" w:space="0" w:color="auto"/>
        <w:right w:val="none" w:sz="0" w:space="0" w:color="auto"/>
      </w:divBdr>
    </w:div>
    <w:div w:id="771048902">
      <w:bodyDiv w:val="1"/>
      <w:marLeft w:val="0"/>
      <w:marRight w:val="0"/>
      <w:marTop w:val="0"/>
      <w:marBottom w:val="0"/>
      <w:divBdr>
        <w:top w:val="none" w:sz="0" w:space="0" w:color="auto"/>
        <w:left w:val="none" w:sz="0" w:space="0" w:color="auto"/>
        <w:bottom w:val="none" w:sz="0" w:space="0" w:color="auto"/>
        <w:right w:val="none" w:sz="0" w:space="0" w:color="auto"/>
      </w:divBdr>
    </w:div>
    <w:div w:id="795024869">
      <w:bodyDiv w:val="1"/>
      <w:marLeft w:val="0"/>
      <w:marRight w:val="0"/>
      <w:marTop w:val="0"/>
      <w:marBottom w:val="0"/>
      <w:divBdr>
        <w:top w:val="none" w:sz="0" w:space="0" w:color="auto"/>
        <w:left w:val="none" w:sz="0" w:space="0" w:color="auto"/>
        <w:bottom w:val="none" w:sz="0" w:space="0" w:color="auto"/>
        <w:right w:val="none" w:sz="0" w:space="0" w:color="auto"/>
      </w:divBdr>
    </w:div>
    <w:div w:id="806975224">
      <w:bodyDiv w:val="1"/>
      <w:marLeft w:val="0"/>
      <w:marRight w:val="0"/>
      <w:marTop w:val="0"/>
      <w:marBottom w:val="0"/>
      <w:divBdr>
        <w:top w:val="none" w:sz="0" w:space="0" w:color="auto"/>
        <w:left w:val="none" w:sz="0" w:space="0" w:color="auto"/>
        <w:bottom w:val="none" w:sz="0" w:space="0" w:color="auto"/>
        <w:right w:val="none" w:sz="0" w:space="0" w:color="auto"/>
      </w:divBdr>
    </w:div>
    <w:div w:id="820005814">
      <w:bodyDiv w:val="1"/>
      <w:marLeft w:val="0"/>
      <w:marRight w:val="0"/>
      <w:marTop w:val="0"/>
      <w:marBottom w:val="0"/>
      <w:divBdr>
        <w:top w:val="none" w:sz="0" w:space="0" w:color="auto"/>
        <w:left w:val="none" w:sz="0" w:space="0" w:color="auto"/>
        <w:bottom w:val="none" w:sz="0" w:space="0" w:color="auto"/>
        <w:right w:val="none" w:sz="0" w:space="0" w:color="auto"/>
      </w:divBdr>
    </w:div>
    <w:div w:id="829826741">
      <w:bodyDiv w:val="1"/>
      <w:marLeft w:val="0"/>
      <w:marRight w:val="0"/>
      <w:marTop w:val="0"/>
      <w:marBottom w:val="0"/>
      <w:divBdr>
        <w:top w:val="none" w:sz="0" w:space="0" w:color="auto"/>
        <w:left w:val="none" w:sz="0" w:space="0" w:color="auto"/>
        <w:bottom w:val="none" w:sz="0" w:space="0" w:color="auto"/>
        <w:right w:val="none" w:sz="0" w:space="0" w:color="auto"/>
      </w:divBdr>
    </w:div>
    <w:div w:id="841622815">
      <w:bodyDiv w:val="1"/>
      <w:marLeft w:val="0"/>
      <w:marRight w:val="0"/>
      <w:marTop w:val="0"/>
      <w:marBottom w:val="0"/>
      <w:divBdr>
        <w:top w:val="none" w:sz="0" w:space="0" w:color="auto"/>
        <w:left w:val="none" w:sz="0" w:space="0" w:color="auto"/>
        <w:bottom w:val="none" w:sz="0" w:space="0" w:color="auto"/>
        <w:right w:val="none" w:sz="0" w:space="0" w:color="auto"/>
      </w:divBdr>
    </w:div>
    <w:div w:id="846940324">
      <w:bodyDiv w:val="1"/>
      <w:marLeft w:val="0"/>
      <w:marRight w:val="0"/>
      <w:marTop w:val="0"/>
      <w:marBottom w:val="0"/>
      <w:divBdr>
        <w:top w:val="none" w:sz="0" w:space="0" w:color="auto"/>
        <w:left w:val="none" w:sz="0" w:space="0" w:color="auto"/>
        <w:bottom w:val="none" w:sz="0" w:space="0" w:color="auto"/>
        <w:right w:val="none" w:sz="0" w:space="0" w:color="auto"/>
      </w:divBdr>
    </w:div>
    <w:div w:id="853881101">
      <w:bodyDiv w:val="1"/>
      <w:marLeft w:val="0"/>
      <w:marRight w:val="0"/>
      <w:marTop w:val="0"/>
      <w:marBottom w:val="0"/>
      <w:divBdr>
        <w:top w:val="none" w:sz="0" w:space="0" w:color="auto"/>
        <w:left w:val="none" w:sz="0" w:space="0" w:color="auto"/>
        <w:bottom w:val="none" w:sz="0" w:space="0" w:color="auto"/>
        <w:right w:val="none" w:sz="0" w:space="0" w:color="auto"/>
      </w:divBdr>
    </w:div>
    <w:div w:id="869419445">
      <w:bodyDiv w:val="1"/>
      <w:marLeft w:val="0"/>
      <w:marRight w:val="0"/>
      <w:marTop w:val="0"/>
      <w:marBottom w:val="0"/>
      <w:divBdr>
        <w:top w:val="none" w:sz="0" w:space="0" w:color="auto"/>
        <w:left w:val="none" w:sz="0" w:space="0" w:color="auto"/>
        <w:bottom w:val="none" w:sz="0" w:space="0" w:color="auto"/>
        <w:right w:val="none" w:sz="0" w:space="0" w:color="auto"/>
      </w:divBdr>
    </w:div>
    <w:div w:id="902719171">
      <w:bodyDiv w:val="1"/>
      <w:marLeft w:val="0"/>
      <w:marRight w:val="0"/>
      <w:marTop w:val="0"/>
      <w:marBottom w:val="0"/>
      <w:divBdr>
        <w:top w:val="none" w:sz="0" w:space="0" w:color="auto"/>
        <w:left w:val="none" w:sz="0" w:space="0" w:color="auto"/>
        <w:bottom w:val="none" w:sz="0" w:space="0" w:color="auto"/>
        <w:right w:val="none" w:sz="0" w:space="0" w:color="auto"/>
      </w:divBdr>
    </w:div>
    <w:div w:id="971323113">
      <w:bodyDiv w:val="1"/>
      <w:marLeft w:val="0"/>
      <w:marRight w:val="0"/>
      <w:marTop w:val="0"/>
      <w:marBottom w:val="0"/>
      <w:divBdr>
        <w:top w:val="none" w:sz="0" w:space="0" w:color="auto"/>
        <w:left w:val="none" w:sz="0" w:space="0" w:color="auto"/>
        <w:bottom w:val="none" w:sz="0" w:space="0" w:color="auto"/>
        <w:right w:val="none" w:sz="0" w:space="0" w:color="auto"/>
      </w:divBdr>
      <w:divsChild>
        <w:div w:id="1219130190">
          <w:marLeft w:val="547"/>
          <w:marRight w:val="0"/>
          <w:marTop w:val="0"/>
          <w:marBottom w:val="0"/>
          <w:divBdr>
            <w:top w:val="none" w:sz="0" w:space="0" w:color="auto"/>
            <w:left w:val="none" w:sz="0" w:space="0" w:color="auto"/>
            <w:bottom w:val="none" w:sz="0" w:space="0" w:color="auto"/>
            <w:right w:val="none" w:sz="0" w:space="0" w:color="auto"/>
          </w:divBdr>
        </w:div>
        <w:div w:id="751976047">
          <w:marLeft w:val="547"/>
          <w:marRight w:val="0"/>
          <w:marTop w:val="0"/>
          <w:marBottom w:val="0"/>
          <w:divBdr>
            <w:top w:val="none" w:sz="0" w:space="0" w:color="auto"/>
            <w:left w:val="none" w:sz="0" w:space="0" w:color="auto"/>
            <w:bottom w:val="none" w:sz="0" w:space="0" w:color="auto"/>
            <w:right w:val="none" w:sz="0" w:space="0" w:color="auto"/>
          </w:divBdr>
        </w:div>
      </w:divsChild>
    </w:div>
    <w:div w:id="983655855">
      <w:bodyDiv w:val="1"/>
      <w:marLeft w:val="0"/>
      <w:marRight w:val="0"/>
      <w:marTop w:val="0"/>
      <w:marBottom w:val="0"/>
      <w:divBdr>
        <w:top w:val="none" w:sz="0" w:space="0" w:color="auto"/>
        <w:left w:val="none" w:sz="0" w:space="0" w:color="auto"/>
        <w:bottom w:val="none" w:sz="0" w:space="0" w:color="auto"/>
        <w:right w:val="none" w:sz="0" w:space="0" w:color="auto"/>
      </w:divBdr>
    </w:div>
    <w:div w:id="997228518">
      <w:bodyDiv w:val="1"/>
      <w:marLeft w:val="0"/>
      <w:marRight w:val="0"/>
      <w:marTop w:val="0"/>
      <w:marBottom w:val="0"/>
      <w:divBdr>
        <w:top w:val="none" w:sz="0" w:space="0" w:color="auto"/>
        <w:left w:val="none" w:sz="0" w:space="0" w:color="auto"/>
        <w:bottom w:val="none" w:sz="0" w:space="0" w:color="auto"/>
        <w:right w:val="none" w:sz="0" w:space="0" w:color="auto"/>
      </w:divBdr>
    </w:div>
    <w:div w:id="1044214963">
      <w:bodyDiv w:val="1"/>
      <w:marLeft w:val="0"/>
      <w:marRight w:val="0"/>
      <w:marTop w:val="0"/>
      <w:marBottom w:val="0"/>
      <w:divBdr>
        <w:top w:val="none" w:sz="0" w:space="0" w:color="auto"/>
        <w:left w:val="none" w:sz="0" w:space="0" w:color="auto"/>
        <w:bottom w:val="none" w:sz="0" w:space="0" w:color="auto"/>
        <w:right w:val="none" w:sz="0" w:space="0" w:color="auto"/>
      </w:divBdr>
    </w:div>
    <w:div w:id="1090154238">
      <w:bodyDiv w:val="1"/>
      <w:marLeft w:val="0"/>
      <w:marRight w:val="0"/>
      <w:marTop w:val="0"/>
      <w:marBottom w:val="0"/>
      <w:divBdr>
        <w:top w:val="none" w:sz="0" w:space="0" w:color="auto"/>
        <w:left w:val="none" w:sz="0" w:space="0" w:color="auto"/>
        <w:bottom w:val="none" w:sz="0" w:space="0" w:color="auto"/>
        <w:right w:val="none" w:sz="0" w:space="0" w:color="auto"/>
      </w:divBdr>
    </w:div>
    <w:div w:id="1196310388">
      <w:bodyDiv w:val="1"/>
      <w:marLeft w:val="0"/>
      <w:marRight w:val="0"/>
      <w:marTop w:val="0"/>
      <w:marBottom w:val="0"/>
      <w:divBdr>
        <w:top w:val="none" w:sz="0" w:space="0" w:color="auto"/>
        <w:left w:val="none" w:sz="0" w:space="0" w:color="auto"/>
        <w:bottom w:val="none" w:sz="0" w:space="0" w:color="auto"/>
        <w:right w:val="none" w:sz="0" w:space="0" w:color="auto"/>
      </w:divBdr>
    </w:div>
    <w:div w:id="1200626994">
      <w:bodyDiv w:val="1"/>
      <w:marLeft w:val="0"/>
      <w:marRight w:val="0"/>
      <w:marTop w:val="0"/>
      <w:marBottom w:val="0"/>
      <w:divBdr>
        <w:top w:val="none" w:sz="0" w:space="0" w:color="auto"/>
        <w:left w:val="none" w:sz="0" w:space="0" w:color="auto"/>
        <w:bottom w:val="none" w:sz="0" w:space="0" w:color="auto"/>
        <w:right w:val="none" w:sz="0" w:space="0" w:color="auto"/>
      </w:divBdr>
    </w:div>
    <w:div w:id="1212036948">
      <w:bodyDiv w:val="1"/>
      <w:marLeft w:val="0"/>
      <w:marRight w:val="0"/>
      <w:marTop w:val="0"/>
      <w:marBottom w:val="0"/>
      <w:divBdr>
        <w:top w:val="none" w:sz="0" w:space="0" w:color="auto"/>
        <w:left w:val="none" w:sz="0" w:space="0" w:color="auto"/>
        <w:bottom w:val="none" w:sz="0" w:space="0" w:color="auto"/>
        <w:right w:val="none" w:sz="0" w:space="0" w:color="auto"/>
      </w:divBdr>
    </w:div>
    <w:div w:id="1235507337">
      <w:bodyDiv w:val="1"/>
      <w:marLeft w:val="0"/>
      <w:marRight w:val="0"/>
      <w:marTop w:val="0"/>
      <w:marBottom w:val="0"/>
      <w:divBdr>
        <w:top w:val="none" w:sz="0" w:space="0" w:color="auto"/>
        <w:left w:val="none" w:sz="0" w:space="0" w:color="auto"/>
        <w:bottom w:val="none" w:sz="0" w:space="0" w:color="auto"/>
        <w:right w:val="none" w:sz="0" w:space="0" w:color="auto"/>
      </w:divBdr>
      <w:divsChild>
        <w:div w:id="1287277885">
          <w:marLeft w:val="547"/>
          <w:marRight w:val="0"/>
          <w:marTop w:val="0"/>
          <w:marBottom w:val="0"/>
          <w:divBdr>
            <w:top w:val="none" w:sz="0" w:space="0" w:color="auto"/>
            <w:left w:val="none" w:sz="0" w:space="0" w:color="auto"/>
            <w:bottom w:val="none" w:sz="0" w:space="0" w:color="auto"/>
            <w:right w:val="none" w:sz="0" w:space="0" w:color="auto"/>
          </w:divBdr>
        </w:div>
      </w:divsChild>
    </w:div>
    <w:div w:id="1305311093">
      <w:bodyDiv w:val="1"/>
      <w:marLeft w:val="0"/>
      <w:marRight w:val="0"/>
      <w:marTop w:val="0"/>
      <w:marBottom w:val="0"/>
      <w:divBdr>
        <w:top w:val="none" w:sz="0" w:space="0" w:color="auto"/>
        <w:left w:val="none" w:sz="0" w:space="0" w:color="auto"/>
        <w:bottom w:val="none" w:sz="0" w:space="0" w:color="auto"/>
        <w:right w:val="none" w:sz="0" w:space="0" w:color="auto"/>
      </w:divBdr>
    </w:div>
    <w:div w:id="1475372264">
      <w:bodyDiv w:val="1"/>
      <w:marLeft w:val="0"/>
      <w:marRight w:val="0"/>
      <w:marTop w:val="0"/>
      <w:marBottom w:val="0"/>
      <w:divBdr>
        <w:top w:val="none" w:sz="0" w:space="0" w:color="auto"/>
        <w:left w:val="none" w:sz="0" w:space="0" w:color="auto"/>
        <w:bottom w:val="none" w:sz="0" w:space="0" w:color="auto"/>
        <w:right w:val="none" w:sz="0" w:space="0" w:color="auto"/>
      </w:divBdr>
    </w:div>
    <w:div w:id="1533348357">
      <w:bodyDiv w:val="1"/>
      <w:marLeft w:val="0"/>
      <w:marRight w:val="0"/>
      <w:marTop w:val="0"/>
      <w:marBottom w:val="0"/>
      <w:divBdr>
        <w:top w:val="none" w:sz="0" w:space="0" w:color="auto"/>
        <w:left w:val="none" w:sz="0" w:space="0" w:color="auto"/>
        <w:bottom w:val="none" w:sz="0" w:space="0" w:color="auto"/>
        <w:right w:val="none" w:sz="0" w:space="0" w:color="auto"/>
      </w:divBdr>
    </w:div>
    <w:div w:id="1588032766">
      <w:bodyDiv w:val="1"/>
      <w:marLeft w:val="0"/>
      <w:marRight w:val="0"/>
      <w:marTop w:val="0"/>
      <w:marBottom w:val="0"/>
      <w:divBdr>
        <w:top w:val="none" w:sz="0" w:space="0" w:color="auto"/>
        <w:left w:val="none" w:sz="0" w:space="0" w:color="auto"/>
        <w:bottom w:val="none" w:sz="0" w:space="0" w:color="auto"/>
        <w:right w:val="none" w:sz="0" w:space="0" w:color="auto"/>
      </w:divBdr>
      <w:divsChild>
        <w:div w:id="401222364">
          <w:marLeft w:val="547"/>
          <w:marRight w:val="0"/>
          <w:marTop w:val="0"/>
          <w:marBottom w:val="0"/>
          <w:divBdr>
            <w:top w:val="none" w:sz="0" w:space="0" w:color="auto"/>
            <w:left w:val="none" w:sz="0" w:space="0" w:color="auto"/>
            <w:bottom w:val="none" w:sz="0" w:space="0" w:color="auto"/>
            <w:right w:val="none" w:sz="0" w:space="0" w:color="auto"/>
          </w:divBdr>
        </w:div>
      </w:divsChild>
    </w:div>
    <w:div w:id="1622376241">
      <w:bodyDiv w:val="1"/>
      <w:marLeft w:val="0"/>
      <w:marRight w:val="0"/>
      <w:marTop w:val="0"/>
      <w:marBottom w:val="0"/>
      <w:divBdr>
        <w:top w:val="none" w:sz="0" w:space="0" w:color="auto"/>
        <w:left w:val="none" w:sz="0" w:space="0" w:color="auto"/>
        <w:bottom w:val="none" w:sz="0" w:space="0" w:color="auto"/>
        <w:right w:val="none" w:sz="0" w:space="0" w:color="auto"/>
      </w:divBdr>
    </w:div>
    <w:div w:id="1647541101">
      <w:bodyDiv w:val="1"/>
      <w:marLeft w:val="0"/>
      <w:marRight w:val="0"/>
      <w:marTop w:val="0"/>
      <w:marBottom w:val="0"/>
      <w:divBdr>
        <w:top w:val="none" w:sz="0" w:space="0" w:color="auto"/>
        <w:left w:val="none" w:sz="0" w:space="0" w:color="auto"/>
        <w:bottom w:val="none" w:sz="0" w:space="0" w:color="auto"/>
        <w:right w:val="none" w:sz="0" w:space="0" w:color="auto"/>
      </w:divBdr>
    </w:div>
    <w:div w:id="1658268140">
      <w:bodyDiv w:val="1"/>
      <w:marLeft w:val="0"/>
      <w:marRight w:val="0"/>
      <w:marTop w:val="0"/>
      <w:marBottom w:val="0"/>
      <w:divBdr>
        <w:top w:val="none" w:sz="0" w:space="0" w:color="auto"/>
        <w:left w:val="none" w:sz="0" w:space="0" w:color="auto"/>
        <w:bottom w:val="none" w:sz="0" w:space="0" w:color="auto"/>
        <w:right w:val="none" w:sz="0" w:space="0" w:color="auto"/>
      </w:divBdr>
    </w:div>
    <w:div w:id="1686594549">
      <w:bodyDiv w:val="1"/>
      <w:marLeft w:val="0"/>
      <w:marRight w:val="0"/>
      <w:marTop w:val="0"/>
      <w:marBottom w:val="0"/>
      <w:divBdr>
        <w:top w:val="none" w:sz="0" w:space="0" w:color="auto"/>
        <w:left w:val="none" w:sz="0" w:space="0" w:color="auto"/>
        <w:bottom w:val="none" w:sz="0" w:space="0" w:color="auto"/>
        <w:right w:val="none" w:sz="0" w:space="0" w:color="auto"/>
      </w:divBdr>
    </w:div>
    <w:div w:id="1714190570">
      <w:bodyDiv w:val="1"/>
      <w:marLeft w:val="0"/>
      <w:marRight w:val="0"/>
      <w:marTop w:val="0"/>
      <w:marBottom w:val="0"/>
      <w:divBdr>
        <w:top w:val="none" w:sz="0" w:space="0" w:color="auto"/>
        <w:left w:val="none" w:sz="0" w:space="0" w:color="auto"/>
        <w:bottom w:val="none" w:sz="0" w:space="0" w:color="auto"/>
        <w:right w:val="none" w:sz="0" w:space="0" w:color="auto"/>
      </w:divBdr>
    </w:div>
    <w:div w:id="1752851087">
      <w:bodyDiv w:val="1"/>
      <w:marLeft w:val="0"/>
      <w:marRight w:val="0"/>
      <w:marTop w:val="0"/>
      <w:marBottom w:val="0"/>
      <w:divBdr>
        <w:top w:val="none" w:sz="0" w:space="0" w:color="auto"/>
        <w:left w:val="none" w:sz="0" w:space="0" w:color="auto"/>
        <w:bottom w:val="none" w:sz="0" w:space="0" w:color="auto"/>
        <w:right w:val="none" w:sz="0" w:space="0" w:color="auto"/>
      </w:divBdr>
    </w:div>
    <w:div w:id="1779524773">
      <w:bodyDiv w:val="1"/>
      <w:marLeft w:val="0"/>
      <w:marRight w:val="0"/>
      <w:marTop w:val="0"/>
      <w:marBottom w:val="0"/>
      <w:divBdr>
        <w:top w:val="none" w:sz="0" w:space="0" w:color="auto"/>
        <w:left w:val="none" w:sz="0" w:space="0" w:color="auto"/>
        <w:bottom w:val="none" w:sz="0" w:space="0" w:color="auto"/>
        <w:right w:val="none" w:sz="0" w:space="0" w:color="auto"/>
      </w:divBdr>
    </w:div>
    <w:div w:id="1781144583">
      <w:bodyDiv w:val="1"/>
      <w:marLeft w:val="0"/>
      <w:marRight w:val="0"/>
      <w:marTop w:val="0"/>
      <w:marBottom w:val="0"/>
      <w:divBdr>
        <w:top w:val="none" w:sz="0" w:space="0" w:color="auto"/>
        <w:left w:val="none" w:sz="0" w:space="0" w:color="auto"/>
        <w:bottom w:val="none" w:sz="0" w:space="0" w:color="auto"/>
        <w:right w:val="none" w:sz="0" w:space="0" w:color="auto"/>
      </w:divBdr>
      <w:divsChild>
        <w:div w:id="726294994">
          <w:marLeft w:val="547"/>
          <w:marRight w:val="0"/>
          <w:marTop w:val="0"/>
          <w:marBottom w:val="0"/>
          <w:divBdr>
            <w:top w:val="none" w:sz="0" w:space="0" w:color="auto"/>
            <w:left w:val="none" w:sz="0" w:space="0" w:color="auto"/>
            <w:bottom w:val="none" w:sz="0" w:space="0" w:color="auto"/>
            <w:right w:val="none" w:sz="0" w:space="0" w:color="auto"/>
          </w:divBdr>
        </w:div>
      </w:divsChild>
    </w:div>
    <w:div w:id="1793863572">
      <w:bodyDiv w:val="1"/>
      <w:marLeft w:val="0"/>
      <w:marRight w:val="0"/>
      <w:marTop w:val="0"/>
      <w:marBottom w:val="0"/>
      <w:divBdr>
        <w:top w:val="none" w:sz="0" w:space="0" w:color="auto"/>
        <w:left w:val="none" w:sz="0" w:space="0" w:color="auto"/>
        <w:bottom w:val="none" w:sz="0" w:space="0" w:color="auto"/>
        <w:right w:val="none" w:sz="0" w:space="0" w:color="auto"/>
      </w:divBdr>
    </w:div>
    <w:div w:id="1814636792">
      <w:bodyDiv w:val="1"/>
      <w:marLeft w:val="0"/>
      <w:marRight w:val="0"/>
      <w:marTop w:val="0"/>
      <w:marBottom w:val="0"/>
      <w:divBdr>
        <w:top w:val="none" w:sz="0" w:space="0" w:color="auto"/>
        <w:left w:val="none" w:sz="0" w:space="0" w:color="auto"/>
        <w:bottom w:val="none" w:sz="0" w:space="0" w:color="auto"/>
        <w:right w:val="none" w:sz="0" w:space="0" w:color="auto"/>
      </w:divBdr>
    </w:div>
    <w:div w:id="1854566403">
      <w:bodyDiv w:val="1"/>
      <w:marLeft w:val="0"/>
      <w:marRight w:val="0"/>
      <w:marTop w:val="0"/>
      <w:marBottom w:val="0"/>
      <w:divBdr>
        <w:top w:val="none" w:sz="0" w:space="0" w:color="auto"/>
        <w:left w:val="none" w:sz="0" w:space="0" w:color="auto"/>
        <w:bottom w:val="none" w:sz="0" w:space="0" w:color="auto"/>
        <w:right w:val="none" w:sz="0" w:space="0" w:color="auto"/>
      </w:divBdr>
    </w:div>
    <w:div w:id="1874224075">
      <w:bodyDiv w:val="1"/>
      <w:marLeft w:val="0"/>
      <w:marRight w:val="0"/>
      <w:marTop w:val="0"/>
      <w:marBottom w:val="0"/>
      <w:divBdr>
        <w:top w:val="none" w:sz="0" w:space="0" w:color="auto"/>
        <w:left w:val="none" w:sz="0" w:space="0" w:color="auto"/>
        <w:bottom w:val="none" w:sz="0" w:space="0" w:color="auto"/>
        <w:right w:val="none" w:sz="0" w:space="0" w:color="auto"/>
      </w:divBdr>
    </w:div>
    <w:div w:id="1889804478">
      <w:bodyDiv w:val="1"/>
      <w:marLeft w:val="0"/>
      <w:marRight w:val="0"/>
      <w:marTop w:val="0"/>
      <w:marBottom w:val="0"/>
      <w:divBdr>
        <w:top w:val="none" w:sz="0" w:space="0" w:color="auto"/>
        <w:left w:val="none" w:sz="0" w:space="0" w:color="auto"/>
        <w:bottom w:val="none" w:sz="0" w:space="0" w:color="auto"/>
        <w:right w:val="none" w:sz="0" w:space="0" w:color="auto"/>
      </w:divBdr>
    </w:div>
    <w:div w:id="201001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DC260A2E84689407CA7D815A5AA9DBFFEE758BB7A72202753F7CC524B18A1603DC6E2305AAFB46B126D867009549AA743B1A1AECC76C679M248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13385</Words>
  <Characters>76295</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Вторушин Геннадий Алексеевич</dc:creator>
  <cp:keywords/>
  <dc:description/>
  <cp:lastModifiedBy>Вторушин Геннадий Алексеевич</cp:lastModifiedBy>
  <cp:revision>3</cp:revision>
  <cp:lastPrinted>2024-03-14T09:37:00Z</cp:lastPrinted>
  <dcterms:created xsi:type="dcterms:W3CDTF">2024-03-14T10:39:00Z</dcterms:created>
  <dcterms:modified xsi:type="dcterms:W3CDTF">2024-03-14T10:53:00Z</dcterms:modified>
  <cp:contentStatus/>
</cp:coreProperties>
</file>