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1C" w:rsidRDefault="00582B1C" w:rsidP="00582B1C">
      <w:pPr>
        <w:ind w:firstLine="540"/>
        <w:jc w:val="right"/>
        <w:rPr>
          <w:b/>
        </w:rPr>
      </w:pPr>
      <w:r>
        <w:rPr>
          <w:b/>
        </w:rPr>
        <w:t>Приложение</w:t>
      </w:r>
      <w:r w:rsidR="00B025DD">
        <w:rPr>
          <w:b/>
        </w:rPr>
        <w:t xml:space="preserve"> </w:t>
      </w:r>
      <w:r>
        <w:rPr>
          <w:b/>
        </w:rPr>
        <w:t>7</w:t>
      </w:r>
    </w:p>
    <w:p w:rsidR="00582B1C" w:rsidRDefault="00582B1C" w:rsidP="00CF0F2C">
      <w:pPr>
        <w:ind w:firstLine="540"/>
        <w:jc w:val="center"/>
        <w:rPr>
          <w:b/>
        </w:rPr>
      </w:pPr>
    </w:p>
    <w:p w:rsidR="00CF0F2C" w:rsidRDefault="00CF0F2C" w:rsidP="00B025DD">
      <w:pPr>
        <w:ind w:firstLine="540"/>
        <w:jc w:val="center"/>
        <w:rPr>
          <w:b/>
        </w:rPr>
      </w:pPr>
      <w:r w:rsidRPr="00117C17">
        <w:rPr>
          <w:b/>
        </w:rPr>
        <w:t>Государственный внутренний долг Томской области</w:t>
      </w:r>
    </w:p>
    <w:p w:rsidR="003759AD" w:rsidRDefault="00CF0F2C" w:rsidP="00B025DD">
      <w:pPr>
        <w:ind w:right="278" w:firstLine="540"/>
        <w:jc w:val="center"/>
      </w:pPr>
      <w:bookmarkStart w:id="0" w:name="_GoBack"/>
      <w:bookmarkEnd w:id="0"/>
      <w:r>
        <w:rPr>
          <w:b/>
        </w:rPr>
        <w:t>и</w:t>
      </w:r>
      <w:r w:rsidRPr="001B52FF">
        <w:rPr>
          <w:b/>
        </w:rPr>
        <w:t xml:space="preserve"> </w:t>
      </w:r>
      <w:r>
        <w:rPr>
          <w:b/>
        </w:rPr>
        <w:t>расходы на обслуживание государственного долга</w:t>
      </w:r>
    </w:p>
    <w:p w:rsidR="00CF0F2C" w:rsidRPr="002D5C95" w:rsidRDefault="00CF0F2C" w:rsidP="003759AD">
      <w:pPr>
        <w:ind w:right="278" w:firstLine="540"/>
        <w:jc w:val="both"/>
      </w:pPr>
    </w:p>
    <w:p w:rsidR="00C81F5B" w:rsidRDefault="00CC315A" w:rsidP="00C81F5B">
      <w:pPr>
        <w:ind w:firstLine="709"/>
        <w:jc w:val="both"/>
      </w:pPr>
      <w:r w:rsidRPr="00CF0F2C">
        <w:t>Государственный внутренний долг Томской области</w:t>
      </w:r>
      <w:r w:rsidRPr="00585753">
        <w:t xml:space="preserve"> </w:t>
      </w:r>
      <w:r w:rsidRPr="001B3898">
        <w:t>по состоянию на 01.01.201</w:t>
      </w:r>
      <w:r w:rsidR="001B3898" w:rsidRPr="001B3898">
        <w:t>8</w:t>
      </w:r>
      <w:r w:rsidRPr="001B3898">
        <w:t xml:space="preserve"> составил 2</w:t>
      </w:r>
      <w:r w:rsidR="001B3898" w:rsidRPr="001B3898">
        <w:t>8 371 6</w:t>
      </w:r>
      <w:r w:rsidRPr="001B3898">
        <w:t>9</w:t>
      </w:r>
      <w:r w:rsidR="001B3898" w:rsidRPr="001B3898">
        <w:t>6</w:t>
      </w:r>
      <w:r w:rsidRPr="001B3898">
        <w:t xml:space="preserve">,4 </w:t>
      </w:r>
      <w:proofErr w:type="spellStart"/>
      <w:r w:rsidRPr="001B3898">
        <w:t>тыс</w:t>
      </w:r>
      <w:proofErr w:type="gramStart"/>
      <w:r w:rsidRPr="001B3898">
        <w:t>.р</w:t>
      </w:r>
      <w:proofErr w:type="gramEnd"/>
      <w:r w:rsidRPr="001B3898">
        <w:t>уб</w:t>
      </w:r>
      <w:proofErr w:type="spellEnd"/>
      <w:r w:rsidRPr="001B3898">
        <w:t xml:space="preserve">., что соответствует </w:t>
      </w:r>
      <w:r w:rsidR="00C81F5B">
        <w:t xml:space="preserve">объему, </w:t>
      </w:r>
      <w:r w:rsidRPr="001B3898">
        <w:t>указанному в Пояснительной записке к Отчету об исполнении областного бюджета за 201</w:t>
      </w:r>
      <w:r w:rsidR="001B3898">
        <w:t>7</w:t>
      </w:r>
      <w:r w:rsidRPr="001B3898">
        <w:t xml:space="preserve"> год </w:t>
      </w:r>
      <w:r w:rsidRPr="00F509E6">
        <w:t>(</w:t>
      </w:r>
      <w:r w:rsidRPr="001B3898">
        <w:t>далее - Пояснительная записка), представленной одновременно с проектом Закона Томской области «Об исполнении областного бюджета за 201</w:t>
      </w:r>
      <w:r w:rsidR="001B3898" w:rsidRPr="001B3898">
        <w:t>7</w:t>
      </w:r>
      <w:r w:rsidRPr="001B3898">
        <w:t xml:space="preserve"> год» (далее – проект Закона). </w:t>
      </w:r>
    </w:p>
    <w:p w:rsidR="00B04093" w:rsidRPr="00BB5FFC" w:rsidRDefault="00B04093" w:rsidP="00B04093">
      <w:pPr>
        <w:ind w:firstLine="709"/>
        <w:jc w:val="both"/>
      </w:pPr>
      <w:r w:rsidRPr="00BB5FFC">
        <w:t>Задолженность по долговым обязательствам Томской области, отраженная в регистрах бухгалтерского учета, по состоянию на 01.01.2018 соответствует отчетным данным.</w:t>
      </w:r>
    </w:p>
    <w:p w:rsidR="009F7ED1" w:rsidRDefault="00C55124" w:rsidP="009F7ED1">
      <w:pPr>
        <w:ind w:firstLine="709"/>
        <w:jc w:val="both"/>
      </w:pPr>
      <w:r>
        <w:t>Г</w:t>
      </w:r>
      <w:r w:rsidR="009F7ED1">
        <w:t>осударственный долг Том</w:t>
      </w:r>
      <w:r w:rsidR="00772088">
        <w:t>ской области ежегодно увеличивал</w:t>
      </w:r>
      <w:r w:rsidR="009F7ED1">
        <w:t>ся с 2011 года</w:t>
      </w:r>
      <w:r w:rsidR="00772088">
        <w:t>,</w:t>
      </w:r>
      <w:r w:rsidR="009F7ED1">
        <w:t xml:space="preserve"> </w:t>
      </w:r>
      <w:r w:rsidR="00772088">
        <w:t>что привело к его увеличению</w:t>
      </w:r>
      <w:r w:rsidR="004E7538">
        <w:t xml:space="preserve"> </w:t>
      </w:r>
      <w:r w:rsidR="00772088">
        <w:t xml:space="preserve">за период 2011-2017 гг. в 4 раза. </w:t>
      </w:r>
    </w:p>
    <w:p w:rsidR="00582B1C" w:rsidRDefault="00582B1C" w:rsidP="009F7ED1">
      <w:pPr>
        <w:ind w:firstLine="709"/>
        <w:jc w:val="both"/>
      </w:pPr>
    </w:p>
    <w:p w:rsidR="00501032" w:rsidRDefault="00244F10" w:rsidP="00244F10">
      <w:pPr>
        <w:jc w:val="center"/>
      </w:pPr>
      <w:r w:rsidRPr="00244F10">
        <w:rPr>
          <w:noProof/>
        </w:rPr>
        <w:drawing>
          <wp:inline distT="0" distB="0" distL="0" distR="0">
            <wp:extent cx="5677318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2B1C" w:rsidRDefault="00582B1C" w:rsidP="00244F10">
      <w:pPr>
        <w:jc w:val="center"/>
      </w:pPr>
    </w:p>
    <w:p w:rsidR="009F7ED1" w:rsidRDefault="009F7ED1" w:rsidP="009F7ED1">
      <w:pPr>
        <w:ind w:firstLine="709"/>
        <w:jc w:val="both"/>
      </w:pPr>
      <w:r>
        <w:t xml:space="preserve">В 2017 году сохранилась тенденция </w:t>
      </w:r>
      <w:r w:rsidR="00C55124">
        <w:t>к</w:t>
      </w:r>
      <w:r>
        <w:t xml:space="preserve"> </w:t>
      </w:r>
      <w:r w:rsidR="004F59F5">
        <w:t>росту</w:t>
      </w:r>
      <w:r>
        <w:t xml:space="preserve"> государственного долга Томской области</w:t>
      </w:r>
      <w:r w:rsidR="004F59F5">
        <w:t xml:space="preserve"> и его объем увеличился на </w:t>
      </w:r>
      <w:r w:rsidR="004F59F5" w:rsidRPr="001B3898">
        <w:t>2 713 387</w:t>
      </w:r>
      <w:r w:rsidR="004F59F5">
        <w:t xml:space="preserve"> </w:t>
      </w:r>
      <w:proofErr w:type="spellStart"/>
      <w:r w:rsidR="004F59F5">
        <w:t>тыс</w:t>
      </w:r>
      <w:proofErr w:type="gramStart"/>
      <w:r w:rsidR="004F59F5">
        <w:t>.р</w:t>
      </w:r>
      <w:proofErr w:type="gramEnd"/>
      <w:r w:rsidR="004F59F5">
        <w:t>уб</w:t>
      </w:r>
      <w:proofErr w:type="spellEnd"/>
      <w:r w:rsidR="004F59F5">
        <w:t>.</w:t>
      </w:r>
      <w:r w:rsidR="003B0B9B">
        <w:t>,</w:t>
      </w:r>
      <w:r w:rsidR="004F59F5" w:rsidRPr="001B3898">
        <w:t xml:space="preserve"> или на 10,6</w:t>
      </w:r>
      <w:r w:rsidR="00C018EA">
        <w:t>% по сравнению с 2016</w:t>
      </w:r>
      <w:r w:rsidR="004F59F5">
        <w:t xml:space="preserve"> годом. </w:t>
      </w:r>
    </w:p>
    <w:p w:rsidR="00C76B40" w:rsidRDefault="00C76B40" w:rsidP="009F7ED1">
      <w:pPr>
        <w:ind w:firstLine="709"/>
        <w:jc w:val="both"/>
      </w:pPr>
      <w:proofErr w:type="gramStart"/>
      <w:r>
        <w:t xml:space="preserve">Контрольно-счетная палата Томской области </w:t>
      </w:r>
      <w:r w:rsidR="00EF19A9">
        <w:t>обращала внимание на необходимость разработки плана мероприятий по снижению объема государственного долга</w:t>
      </w:r>
      <w:r w:rsidR="00494AEC">
        <w:t xml:space="preserve"> Томской области</w:t>
      </w:r>
      <w:r w:rsidR="00EF19A9">
        <w:t>.</w:t>
      </w:r>
      <w:proofErr w:type="gramEnd"/>
    </w:p>
    <w:p w:rsidR="00494AEC" w:rsidRPr="00093B5C" w:rsidRDefault="00EE5D4D" w:rsidP="009F7ED1">
      <w:pPr>
        <w:ind w:firstLine="709"/>
        <w:jc w:val="both"/>
      </w:pPr>
      <w:r>
        <w:t xml:space="preserve">Следует отметить, что </w:t>
      </w:r>
      <w:r w:rsidRPr="00093B5C">
        <w:t xml:space="preserve">задача Основных направлений долговой политики по обеспечению на 01.01.2018 </w:t>
      </w:r>
      <w:proofErr w:type="spellStart"/>
      <w:r w:rsidRPr="00093B5C">
        <w:t>неувеличения</w:t>
      </w:r>
      <w:proofErr w:type="spellEnd"/>
      <w:r w:rsidRPr="00093B5C">
        <w:t xml:space="preserve"> показателя соотношения объема государственного долга к объему доходов областного бюджета без учета безвозмездных поступлений за 2017 по сравнению с показателем на 01.01.2017 не выполнена.</w:t>
      </w:r>
    </w:p>
    <w:p w:rsidR="00605644" w:rsidRDefault="009F679C" w:rsidP="009F7ED1">
      <w:pPr>
        <w:ind w:firstLine="709"/>
        <w:jc w:val="both"/>
      </w:pPr>
      <w:proofErr w:type="gramStart"/>
      <w:r>
        <w:t>Так</w:t>
      </w:r>
      <w:r w:rsidR="00605644">
        <w:t xml:space="preserve">же следует отметить, что Департаментом финансов Томской области </w:t>
      </w:r>
      <w:r w:rsidR="00605644" w:rsidRPr="00093B5C">
        <w:t>превышен</w:t>
      </w:r>
      <w:r w:rsidR="00605644">
        <w:t xml:space="preserve"> </w:t>
      </w:r>
      <w:r w:rsidR="00605644" w:rsidRPr="00093B5C">
        <w:t>один из двух показателей цели подпрограммы</w:t>
      </w:r>
      <w:r w:rsidR="00605644">
        <w:t xml:space="preserve"> 3 «Обеспечение долговой устойчивости областного бюджета»</w:t>
      </w:r>
      <w:r w:rsidR="00B95F43">
        <w:t>, входящей в состав государственной программы «Эффективное управление региональными финансами, государственными закупками и совершенствование межбюджетных отношений в Томской области» (утверждена постановлением Администрации Томской области от 26.11.2014 № 433а)</w:t>
      </w:r>
      <w:r w:rsidR="00605644">
        <w:t>, а именно, на 2017 год предусмотрен показатель «</w:t>
      </w:r>
      <w:r w:rsidR="00605644" w:rsidRPr="0083378B">
        <w:t>Отношение объема государственного долга на конец</w:t>
      </w:r>
      <w:proofErr w:type="gramEnd"/>
      <w:r w:rsidR="00605644" w:rsidRPr="0083378B">
        <w:t xml:space="preserve"> года к годовому объему доходов областного бюджета без учета объема безвозмездных поступлений</w:t>
      </w:r>
      <w:proofErr w:type="gramStart"/>
      <w:r w:rsidR="00605644" w:rsidRPr="0083378B">
        <w:t xml:space="preserve"> (%)</w:t>
      </w:r>
      <w:r w:rsidR="00605644">
        <w:t xml:space="preserve">» </w:t>
      </w:r>
      <w:proofErr w:type="gramEnd"/>
      <w:r w:rsidR="00605644">
        <w:t xml:space="preserve">со значением </w:t>
      </w:r>
      <w:r w:rsidR="00605644" w:rsidRPr="0083378B">
        <w:t>&lt;= 56</w:t>
      </w:r>
      <w:r w:rsidR="00605644">
        <w:t>.</w:t>
      </w:r>
    </w:p>
    <w:p w:rsidR="00772088" w:rsidRDefault="004F59F5" w:rsidP="009F7ED1">
      <w:pPr>
        <w:ind w:firstLine="709"/>
        <w:jc w:val="both"/>
      </w:pPr>
      <w:r>
        <w:t xml:space="preserve">Отношение объема государственного долга к годовому объему </w:t>
      </w:r>
      <w:r w:rsidR="004E7538">
        <w:t xml:space="preserve">доходов бюджета без учета объема безвозмездных поступлений </w:t>
      </w:r>
      <w:r w:rsidR="00113A6A">
        <w:t xml:space="preserve">по итогу 2017 года </w:t>
      </w:r>
      <w:r w:rsidR="004E7538">
        <w:t>составило 69%</w:t>
      </w:r>
      <w:r w:rsidR="00772088">
        <w:t xml:space="preserve"> </w:t>
      </w:r>
      <w:r w:rsidR="00772088">
        <w:lastRenderedPageBreak/>
        <w:t>(</w:t>
      </w:r>
      <w:proofErr w:type="spellStart"/>
      <w:r w:rsidR="00772088">
        <w:t>Справочно</w:t>
      </w:r>
      <w:proofErr w:type="spellEnd"/>
      <w:r w:rsidR="00772088">
        <w:t xml:space="preserve">: значение данного показателя в 2016 году составило 55,9%). Данный показатель приближается к предельному значению, установленному Бюджетным кодексом РФ в размере 100%. </w:t>
      </w:r>
    </w:p>
    <w:p w:rsidR="00BC11C1" w:rsidRDefault="00F30F5B" w:rsidP="00605644">
      <w:pPr>
        <w:ind w:firstLine="709"/>
        <w:jc w:val="both"/>
      </w:pPr>
      <w:r>
        <w:t>С</w:t>
      </w:r>
      <w:r w:rsidR="00772088">
        <w:t xml:space="preserve">огласно </w:t>
      </w:r>
      <w:r>
        <w:t xml:space="preserve">рекомендациям по проведению субъектами Российской Федерации ответственной заемной / долговой политики, разработанным Министерством финансов РФ, субъектам РФ рекомендуется поддерживать значение показателя «отношение объема государственного долга субъекта к общему объему доходов бюджета без учета безвозмездных поступлений» на уровне не более 50% (25% для высокодотационного бюджета). </w:t>
      </w:r>
      <w:r w:rsidR="004E7538">
        <w:t xml:space="preserve"> </w:t>
      </w:r>
    </w:p>
    <w:p w:rsidR="00B51261" w:rsidRDefault="0078347E" w:rsidP="00CC315A">
      <w:pPr>
        <w:ind w:firstLine="709"/>
        <w:jc w:val="both"/>
        <w:rPr>
          <w:iCs/>
        </w:rPr>
      </w:pPr>
      <w:r w:rsidRPr="00093B5C">
        <w:t xml:space="preserve">В нарушение ч.1 ст.9 </w:t>
      </w:r>
      <w:r w:rsidRPr="00093B5C">
        <w:rPr>
          <w:iCs/>
        </w:rPr>
        <w:t>Закона Томской области от 29.12.2016 № 174-ОЗ «Об областном бюджете на 2017 год и на плановый период 2018 и 2019 годов»</w:t>
      </w:r>
      <w:r w:rsidR="00BB5FFC" w:rsidRPr="00093B5C">
        <w:rPr>
          <w:iCs/>
        </w:rPr>
        <w:t xml:space="preserve"> (далее – Закон об областном бюджете)</w:t>
      </w:r>
      <w:r w:rsidRPr="00093B5C">
        <w:rPr>
          <w:iCs/>
        </w:rPr>
        <w:t xml:space="preserve"> по итогу 2017 года верхний предел</w:t>
      </w:r>
      <w:r w:rsidR="005007DE">
        <w:rPr>
          <w:iCs/>
        </w:rPr>
        <w:t xml:space="preserve"> </w:t>
      </w:r>
      <w:r w:rsidR="003253D0">
        <w:rPr>
          <w:iCs/>
        </w:rPr>
        <w:t>государственного внутреннего долга Томской области</w:t>
      </w:r>
      <w:r w:rsidRPr="00093B5C">
        <w:rPr>
          <w:iCs/>
        </w:rPr>
        <w:t xml:space="preserve"> превышен на 1 970 816,8 </w:t>
      </w:r>
      <w:proofErr w:type="spellStart"/>
      <w:r w:rsidRPr="00093B5C">
        <w:rPr>
          <w:iCs/>
        </w:rPr>
        <w:t>тыс</w:t>
      </w:r>
      <w:proofErr w:type="gramStart"/>
      <w:r w:rsidRPr="00093B5C">
        <w:rPr>
          <w:iCs/>
        </w:rPr>
        <w:t>.р</w:t>
      </w:r>
      <w:proofErr w:type="gramEnd"/>
      <w:r w:rsidRPr="00093B5C">
        <w:rPr>
          <w:iCs/>
        </w:rPr>
        <w:t>уб</w:t>
      </w:r>
      <w:proofErr w:type="spellEnd"/>
      <w:r w:rsidRPr="00093B5C">
        <w:rPr>
          <w:iCs/>
        </w:rPr>
        <w:t>.</w:t>
      </w:r>
      <w:r>
        <w:rPr>
          <w:iCs/>
        </w:rPr>
        <w:t xml:space="preserve"> </w:t>
      </w:r>
    </w:p>
    <w:p w:rsidR="0078347E" w:rsidRDefault="00B51261" w:rsidP="00CC315A">
      <w:pPr>
        <w:ind w:firstLine="709"/>
        <w:jc w:val="both"/>
        <w:rPr>
          <w:highlight w:val="lightGray"/>
        </w:rPr>
      </w:pPr>
      <w:r>
        <w:rPr>
          <w:iCs/>
        </w:rPr>
        <w:t xml:space="preserve">Следует отметить, что </w:t>
      </w:r>
      <w:proofErr w:type="gramStart"/>
      <w:r>
        <w:rPr>
          <w:iCs/>
        </w:rPr>
        <w:t>Контрольно-счетная</w:t>
      </w:r>
      <w:proofErr w:type="gramEnd"/>
      <w:r>
        <w:rPr>
          <w:iCs/>
        </w:rPr>
        <w:t xml:space="preserve"> палата Томской области обращала внимание на превышение верхнего предела государственного внутреннего долга</w:t>
      </w:r>
      <w:r w:rsidR="009044BE">
        <w:rPr>
          <w:iCs/>
        </w:rPr>
        <w:t xml:space="preserve"> Томской области</w:t>
      </w:r>
      <w:r>
        <w:rPr>
          <w:iCs/>
        </w:rPr>
        <w:t xml:space="preserve"> в 2013-2014 годах</w:t>
      </w:r>
      <w:r w:rsidR="00623EFB">
        <w:rPr>
          <w:iCs/>
        </w:rPr>
        <w:t>, при этом в период 2015</w:t>
      </w:r>
      <w:r w:rsidR="00210BAD">
        <w:rPr>
          <w:iCs/>
        </w:rPr>
        <w:t>-</w:t>
      </w:r>
      <w:r w:rsidR="00623EFB">
        <w:rPr>
          <w:iCs/>
        </w:rPr>
        <w:t>2016 г</w:t>
      </w:r>
      <w:r w:rsidR="00210BAD">
        <w:rPr>
          <w:iCs/>
        </w:rPr>
        <w:t>оды</w:t>
      </w:r>
      <w:r w:rsidR="00623EFB">
        <w:rPr>
          <w:iCs/>
        </w:rPr>
        <w:t xml:space="preserve"> превышение указанного показателя не допускалось</w:t>
      </w:r>
      <w:r>
        <w:rPr>
          <w:iCs/>
        </w:rPr>
        <w:t>.</w:t>
      </w:r>
      <w:r w:rsidR="0078347E">
        <w:rPr>
          <w:iCs/>
        </w:rPr>
        <w:t xml:space="preserve"> </w:t>
      </w:r>
    </w:p>
    <w:p w:rsidR="00CC315A" w:rsidRPr="0078347E" w:rsidRDefault="0078347E" w:rsidP="00CC315A">
      <w:pPr>
        <w:ind w:firstLine="709"/>
        <w:jc w:val="both"/>
      </w:pPr>
      <w:r w:rsidRPr="0078347E">
        <w:t>П</w:t>
      </w:r>
      <w:r w:rsidR="00CC315A" w:rsidRPr="0078347E">
        <w:t xml:space="preserve">редельный объем государственного долга </w:t>
      </w:r>
      <w:r w:rsidR="009044BE">
        <w:rPr>
          <w:iCs/>
        </w:rPr>
        <w:t>Томской области</w:t>
      </w:r>
      <w:r w:rsidR="009044BE" w:rsidRPr="0078347E">
        <w:t xml:space="preserve"> </w:t>
      </w:r>
      <w:r w:rsidR="00CC315A" w:rsidRPr="0078347E">
        <w:t>на 201</w:t>
      </w:r>
      <w:r w:rsidR="006B2E92">
        <w:t>7</w:t>
      </w:r>
      <w:r w:rsidR="00CC315A" w:rsidRPr="0078347E">
        <w:t xml:space="preserve"> год, установленный п.2 с</w:t>
      </w:r>
      <w:r w:rsidR="00BB5FFC">
        <w:t>т.9 Закона об областном бюджете</w:t>
      </w:r>
      <w:r w:rsidR="00CC315A" w:rsidRPr="0078347E">
        <w:t xml:space="preserve"> не превышен.</w:t>
      </w:r>
    </w:p>
    <w:p w:rsidR="00412CD3" w:rsidRDefault="00F445B3" w:rsidP="00CC315A">
      <w:pPr>
        <w:ind w:firstLine="709"/>
        <w:jc w:val="both"/>
      </w:pPr>
      <w:r>
        <w:t>Согласно информации, указанной в государственной долговой книг</w:t>
      </w:r>
      <w:r w:rsidR="003B0B9B">
        <w:t>е</w:t>
      </w:r>
      <w:r>
        <w:t xml:space="preserve"> Томской области по состоянию на 01.01.2018 года, объем погашения долгов</w:t>
      </w:r>
      <w:r w:rsidR="003B0B9B">
        <w:t>ых обязательств Томской области</w:t>
      </w:r>
      <w:r>
        <w:t xml:space="preserve"> в целом равномерно распределен по годам. </w:t>
      </w:r>
    </w:p>
    <w:p w:rsidR="00210BAD" w:rsidRDefault="00210BAD" w:rsidP="00412CD3">
      <w:pPr>
        <w:ind w:firstLine="709"/>
        <w:jc w:val="right"/>
      </w:pPr>
    </w:p>
    <w:p w:rsidR="00412CD3" w:rsidRDefault="00412CD3" w:rsidP="00210BAD">
      <w:pPr>
        <w:jc w:val="both"/>
      </w:pPr>
      <w:r w:rsidRPr="00412CD3">
        <w:rPr>
          <w:noProof/>
        </w:rPr>
        <w:drawing>
          <wp:inline distT="0" distB="0" distL="0" distR="0">
            <wp:extent cx="5842000" cy="23368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2E92" w:rsidRDefault="008359A3" w:rsidP="008359A3">
      <w:pPr>
        <w:ind w:firstLine="709"/>
        <w:jc w:val="both"/>
      </w:pPr>
      <w:r>
        <w:t>Следует отметить</w:t>
      </w:r>
      <w:r w:rsidR="00F445B3">
        <w:t>,</w:t>
      </w:r>
      <w:r>
        <w:t xml:space="preserve"> что</w:t>
      </w:r>
      <w:r w:rsidR="00F445B3">
        <w:t xml:space="preserve"> 56% объема государственного долга </w:t>
      </w:r>
      <w:r>
        <w:t>Томской области со сроком погашения 2018-2020 годы</w:t>
      </w:r>
      <w:r w:rsidR="00412CD3">
        <w:t xml:space="preserve">. </w:t>
      </w:r>
      <w:r w:rsidR="00F445B3">
        <w:t xml:space="preserve">  </w:t>
      </w:r>
    </w:p>
    <w:p w:rsidR="00676D78" w:rsidRPr="00881C8E" w:rsidRDefault="00676D78" w:rsidP="00441CD9">
      <w:pPr>
        <w:ind w:right="-23" w:firstLine="709"/>
        <w:jc w:val="both"/>
      </w:pPr>
      <w:r w:rsidRPr="00881C8E">
        <w:t>Данные об объеме внутренних заимствований Томской области в 201</w:t>
      </w:r>
      <w:r w:rsidR="00881C8E" w:rsidRPr="00881C8E">
        <w:t>7</w:t>
      </w:r>
      <w:r w:rsidRPr="00881C8E">
        <w:t xml:space="preserve"> году отражены в </w:t>
      </w:r>
      <w:r w:rsidR="002442D8" w:rsidRPr="00881C8E">
        <w:t>т</w:t>
      </w:r>
      <w:r w:rsidR="00582B1C">
        <w:t>аблице</w:t>
      </w:r>
      <w:r w:rsidRPr="00881C8E">
        <w:t>.</w:t>
      </w:r>
    </w:p>
    <w:p w:rsidR="00676D78" w:rsidRPr="00881C8E" w:rsidRDefault="00676D78" w:rsidP="00676D78">
      <w:pPr>
        <w:ind w:firstLine="540"/>
        <w:jc w:val="right"/>
      </w:pPr>
      <w:r w:rsidRPr="00881C8E">
        <w:t xml:space="preserve">                                   (тыс. руб.)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843"/>
        <w:gridCol w:w="1984"/>
        <w:gridCol w:w="1418"/>
        <w:gridCol w:w="2126"/>
      </w:tblGrid>
      <w:tr w:rsidR="00676D78" w:rsidRPr="00D77769" w:rsidTr="002F74FA">
        <w:trPr>
          <w:trHeight w:val="57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78" w:rsidRPr="009F679C" w:rsidRDefault="00676D78" w:rsidP="003759AD">
            <w:pPr>
              <w:jc w:val="center"/>
              <w:rPr>
                <w:sz w:val="20"/>
                <w:szCs w:val="20"/>
              </w:rPr>
            </w:pPr>
            <w:r w:rsidRPr="009F679C">
              <w:rPr>
                <w:sz w:val="20"/>
                <w:szCs w:val="20"/>
              </w:rPr>
              <w:t>Вид заимствований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8E" w:rsidRPr="009F679C" w:rsidRDefault="00881C8E" w:rsidP="00881C8E">
            <w:pPr>
              <w:jc w:val="center"/>
              <w:rPr>
                <w:sz w:val="20"/>
                <w:szCs w:val="20"/>
              </w:rPr>
            </w:pPr>
            <w:proofErr w:type="gramStart"/>
            <w:r w:rsidRPr="009F679C">
              <w:rPr>
                <w:sz w:val="20"/>
                <w:szCs w:val="20"/>
              </w:rPr>
              <w:t xml:space="preserve">Закон Томской области «Об областном бюджете на 2017 год и на плановый период 2018 и 2019 годов» (редакция от 29.12.2016 </w:t>
            </w:r>
            <w:proofErr w:type="gramEnd"/>
          </w:p>
          <w:p w:rsidR="00676D78" w:rsidRPr="009F679C" w:rsidRDefault="00881C8E" w:rsidP="00881C8E">
            <w:pPr>
              <w:jc w:val="center"/>
              <w:rPr>
                <w:sz w:val="20"/>
                <w:szCs w:val="20"/>
                <w:highlight w:val="lightGray"/>
              </w:rPr>
            </w:pPr>
            <w:proofErr w:type="gramStart"/>
            <w:r w:rsidRPr="009F679C">
              <w:rPr>
                <w:sz w:val="20"/>
                <w:szCs w:val="20"/>
              </w:rPr>
              <w:t>№ 159-ОЗ)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D78" w:rsidRPr="009F679C" w:rsidRDefault="00676D78" w:rsidP="003759AD">
            <w:pPr>
              <w:jc w:val="center"/>
              <w:rPr>
                <w:sz w:val="20"/>
                <w:szCs w:val="20"/>
              </w:rPr>
            </w:pPr>
            <w:r w:rsidRPr="009F679C">
              <w:rPr>
                <w:sz w:val="20"/>
                <w:szCs w:val="20"/>
              </w:rPr>
              <w:t>Выполнение</w:t>
            </w:r>
          </w:p>
          <w:p w:rsidR="00676D78" w:rsidRPr="009F679C" w:rsidRDefault="00676D78" w:rsidP="003759AD">
            <w:pPr>
              <w:jc w:val="center"/>
              <w:rPr>
                <w:sz w:val="20"/>
                <w:szCs w:val="20"/>
              </w:rPr>
            </w:pPr>
            <w:r w:rsidRPr="009F679C">
              <w:rPr>
                <w:sz w:val="20"/>
                <w:szCs w:val="20"/>
              </w:rPr>
              <w:t xml:space="preserve"> </w:t>
            </w:r>
            <w:r w:rsidRPr="009F679C">
              <w:rPr>
                <w:color w:val="000000"/>
                <w:sz w:val="20"/>
                <w:szCs w:val="20"/>
              </w:rPr>
              <w:t>по</w:t>
            </w:r>
            <w:r w:rsidRPr="009F679C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9F679C">
              <w:rPr>
                <w:sz w:val="20"/>
                <w:szCs w:val="20"/>
              </w:rPr>
              <w:t>данным бухгалтерского учета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78" w:rsidRPr="009F679C" w:rsidRDefault="00676D78" w:rsidP="003759AD">
            <w:pPr>
              <w:jc w:val="center"/>
              <w:rPr>
                <w:sz w:val="20"/>
                <w:szCs w:val="20"/>
              </w:rPr>
            </w:pPr>
            <w:r w:rsidRPr="009F679C">
              <w:rPr>
                <w:sz w:val="20"/>
                <w:szCs w:val="20"/>
              </w:rPr>
              <w:t>Отклонение</w:t>
            </w:r>
            <w:proofErr w:type="gramStart"/>
            <w:r w:rsidRPr="009F679C">
              <w:rPr>
                <w:sz w:val="20"/>
                <w:szCs w:val="20"/>
              </w:rPr>
              <w:t xml:space="preserve"> (+,-)</w:t>
            </w:r>
            <w:proofErr w:type="gramEnd"/>
          </w:p>
          <w:p w:rsidR="00676D78" w:rsidRPr="009F679C" w:rsidRDefault="00676D78" w:rsidP="003759AD">
            <w:pPr>
              <w:jc w:val="center"/>
              <w:rPr>
                <w:sz w:val="20"/>
                <w:szCs w:val="20"/>
              </w:rPr>
            </w:pPr>
          </w:p>
        </w:tc>
      </w:tr>
      <w:tr w:rsidR="00676D78" w:rsidRPr="00D77769" w:rsidTr="002F74FA">
        <w:trPr>
          <w:trHeight w:val="9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78" w:rsidRPr="00F509E6" w:rsidRDefault="00676D78" w:rsidP="003759A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78" w:rsidRPr="00D77769" w:rsidRDefault="00676D78" w:rsidP="003759AD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D78" w:rsidRPr="00D77769" w:rsidRDefault="00676D78" w:rsidP="003759AD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78" w:rsidRPr="00D77769" w:rsidRDefault="00676D78" w:rsidP="003759AD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676D78" w:rsidRPr="00D77769" w:rsidTr="002F74FA">
        <w:trPr>
          <w:trHeight w:val="248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D78" w:rsidRPr="00F509E6" w:rsidRDefault="00676D78" w:rsidP="003759AD">
            <w:pPr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>Выпуск ценных бумаг Томской области: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D78" w:rsidRPr="00881C8E" w:rsidRDefault="00676D78" w:rsidP="00881C8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881C8E">
              <w:rPr>
                <w:b/>
                <w:sz w:val="20"/>
                <w:szCs w:val="20"/>
              </w:rPr>
              <w:t>1 </w:t>
            </w:r>
            <w:r w:rsidR="00881C8E" w:rsidRPr="00881C8E">
              <w:rPr>
                <w:b/>
                <w:sz w:val="20"/>
                <w:szCs w:val="20"/>
                <w:lang w:val="en-US"/>
              </w:rPr>
              <w:t>174</w:t>
            </w:r>
            <w:r w:rsidR="00881C8E" w:rsidRPr="00881C8E">
              <w:rPr>
                <w:b/>
                <w:sz w:val="20"/>
                <w:szCs w:val="20"/>
              </w:rPr>
              <w:t> </w:t>
            </w:r>
            <w:r w:rsidR="00881C8E" w:rsidRPr="00881C8E">
              <w:rPr>
                <w:b/>
                <w:sz w:val="20"/>
                <w:szCs w:val="20"/>
                <w:lang w:val="en-US"/>
              </w:rPr>
              <w:t>437</w:t>
            </w:r>
            <w:r w:rsidR="00881C8E" w:rsidRPr="00881C8E">
              <w:rPr>
                <w:b/>
                <w:sz w:val="20"/>
                <w:szCs w:val="20"/>
              </w:rPr>
              <w:t>,</w:t>
            </w:r>
            <w:r w:rsidR="00881C8E" w:rsidRPr="00881C8E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D77769" w:rsidRDefault="00697B41" w:rsidP="003759AD">
            <w:pPr>
              <w:jc w:val="right"/>
              <w:rPr>
                <w:b/>
                <w:sz w:val="20"/>
                <w:szCs w:val="20"/>
                <w:highlight w:val="lightGray"/>
              </w:rPr>
            </w:pPr>
            <w:r w:rsidRPr="00697B41">
              <w:rPr>
                <w:b/>
                <w:sz w:val="20"/>
                <w:szCs w:val="20"/>
              </w:rPr>
              <w:t>2 087 286,3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D77769" w:rsidRDefault="00697B41" w:rsidP="003759AD">
            <w:pPr>
              <w:jc w:val="right"/>
              <w:rPr>
                <w:b/>
                <w:sz w:val="20"/>
                <w:szCs w:val="20"/>
                <w:highlight w:val="lightGray"/>
              </w:rPr>
            </w:pPr>
            <w:r w:rsidRPr="00697B41">
              <w:rPr>
                <w:b/>
                <w:sz w:val="20"/>
                <w:szCs w:val="20"/>
              </w:rPr>
              <w:t>912 848,9</w:t>
            </w:r>
          </w:p>
        </w:tc>
      </w:tr>
      <w:tr w:rsidR="00676D78" w:rsidRPr="00D77769" w:rsidTr="002F74F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F509E6" w:rsidRDefault="00676D78" w:rsidP="003759AD">
            <w:pPr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 xml:space="preserve">привлечение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D78" w:rsidRPr="00881C8E" w:rsidRDefault="00676D78" w:rsidP="00F80C3B">
            <w:pPr>
              <w:jc w:val="right"/>
              <w:rPr>
                <w:sz w:val="20"/>
                <w:szCs w:val="20"/>
              </w:rPr>
            </w:pPr>
            <w:r w:rsidRPr="00881C8E">
              <w:rPr>
                <w:sz w:val="20"/>
                <w:szCs w:val="20"/>
              </w:rPr>
              <w:t>9 </w:t>
            </w:r>
            <w:r w:rsidR="00F80C3B">
              <w:rPr>
                <w:sz w:val="20"/>
                <w:szCs w:val="20"/>
              </w:rPr>
              <w:t>8</w:t>
            </w:r>
            <w:r w:rsidR="00881C8E" w:rsidRPr="00881C8E">
              <w:rPr>
                <w:sz w:val="20"/>
                <w:szCs w:val="20"/>
              </w:rPr>
              <w:t>5</w:t>
            </w:r>
            <w:r w:rsidRPr="00881C8E">
              <w:rPr>
                <w:sz w:val="20"/>
                <w:szCs w:val="20"/>
              </w:rPr>
              <w:t>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7F4686" w:rsidRDefault="007F4686" w:rsidP="003759AD">
            <w:pPr>
              <w:jc w:val="right"/>
              <w:rPr>
                <w:sz w:val="20"/>
                <w:szCs w:val="20"/>
              </w:rPr>
            </w:pPr>
            <w:r w:rsidRPr="007F4686">
              <w:rPr>
                <w:sz w:val="20"/>
                <w:szCs w:val="20"/>
              </w:rPr>
              <w:t>5 977 919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D77769" w:rsidRDefault="006B6218" w:rsidP="00697B41">
            <w:pPr>
              <w:jc w:val="right"/>
              <w:rPr>
                <w:sz w:val="20"/>
                <w:szCs w:val="20"/>
                <w:highlight w:val="lightGray"/>
              </w:rPr>
            </w:pPr>
            <w:r w:rsidRPr="00697B41">
              <w:rPr>
                <w:sz w:val="20"/>
                <w:szCs w:val="20"/>
              </w:rPr>
              <w:t xml:space="preserve">- </w:t>
            </w:r>
            <w:r w:rsidR="00697B41" w:rsidRPr="00697B41">
              <w:rPr>
                <w:sz w:val="20"/>
                <w:szCs w:val="20"/>
              </w:rPr>
              <w:t>3</w:t>
            </w:r>
            <w:r w:rsidRPr="00697B41">
              <w:rPr>
                <w:sz w:val="20"/>
                <w:szCs w:val="20"/>
              </w:rPr>
              <w:t> 8</w:t>
            </w:r>
            <w:r w:rsidR="00697B41" w:rsidRPr="00697B41">
              <w:rPr>
                <w:sz w:val="20"/>
                <w:szCs w:val="20"/>
              </w:rPr>
              <w:t>72</w:t>
            </w:r>
            <w:r w:rsidRPr="00697B41">
              <w:rPr>
                <w:sz w:val="20"/>
                <w:szCs w:val="20"/>
              </w:rPr>
              <w:t xml:space="preserve"> 0</w:t>
            </w:r>
            <w:r w:rsidR="00697B41" w:rsidRPr="00697B41">
              <w:rPr>
                <w:sz w:val="20"/>
                <w:szCs w:val="20"/>
              </w:rPr>
              <w:t>81</w:t>
            </w:r>
          </w:p>
        </w:tc>
      </w:tr>
      <w:tr w:rsidR="00676D78" w:rsidRPr="00D77769" w:rsidTr="002F74FA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F509E6" w:rsidRDefault="00676D78" w:rsidP="003759AD">
            <w:pPr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 xml:space="preserve">погашение задолженности по номинальной цене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D78" w:rsidRPr="00881C8E" w:rsidRDefault="00676D78" w:rsidP="00881C8E">
            <w:pPr>
              <w:jc w:val="right"/>
              <w:rPr>
                <w:sz w:val="20"/>
                <w:szCs w:val="20"/>
              </w:rPr>
            </w:pPr>
            <w:r w:rsidRPr="00881C8E">
              <w:rPr>
                <w:sz w:val="20"/>
                <w:szCs w:val="20"/>
              </w:rPr>
              <w:t>8 </w:t>
            </w:r>
            <w:r w:rsidR="00881C8E" w:rsidRPr="00881C8E">
              <w:rPr>
                <w:sz w:val="20"/>
                <w:szCs w:val="20"/>
              </w:rPr>
              <w:t>675 562,6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7F4686" w:rsidRDefault="007F4686" w:rsidP="003759AD">
            <w:pPr>
              <w:jc w:val="right"/>
              <w:rPr>
                <w:sz w:val="20"/>
                <w:szCs w:val="20"/>
              </w:rPr>
            </w:pPr>
            <w:r w:rsidRPr="007F4686">
              <w:rPr>
                <w:sz w:val="20"/>
                <w:szCs w:val="20"/>
              </w:rPr>
              <w:t>3 890 632,7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D77769" w:rsidRDefault="006B6218" w:rsidP="00697B41">
            <w:pPr>
              <w:jc w:val="right"/>
              <w:rPr>
                <w:sz w:val="20"/>
                <w:szCs w:val="20"/>
                <w:highlight w:val="lightGray"/>
              </w:rPr>
            </w:pPr>
            <w:r w:rsidRPr="00270E06">
              <w:rPr>
                <w:sz w:val="20"/>
                <w:szCs w:val="20"/>
              </w:rPr>
              <w:t xml:space="preserve">- </w:t>
            </w:r>
            <w:r w:rsidR="00697B41" w:rsidRPr="00270E06">
              <w:rPr>
                <w:sz w:val="20"/>
                <w:szCs w:val="20"/>
              </w:rPr>
              <w:t>4</w:t>
            </w:r>
            <w:r w:rsidRPr="00270E06">
              <w:rPr>
                <w:sz w:val="20"/>
                <w:szCs w:val="20"/>
              </w:rPr>
              <w:t> </w:t>
            </w:r>
            <w:r w:rsidR="00697B41" w:rsidRPr="00270E06">
              <w:rPr>
                <w:sz w:val="20"/>
                <w:szCs w:val="20"/>
              </w:rPr>
              <w:t>7</w:t>
            </w:r>
            <w:r w:rsidRPr="00270E06">
              <w:rPr>
                <w:sz w:val="20"/>
                <w:szCs w:val="20"/>
              </w:rPr>
              <w:t>8</w:t>
            </w:r>
            <w:r w:rsidR="00697B41" w:rsidRPr="00270E06">
              <w:rPr>
                <w:sz w:val="20"/>
                <w:szCs w:val="20"/>
              </w:rPr>
              <w:t>4 929,9</w:t>
            </w:r>
          </w:p>
        </w:tc>
      </w:tr>
      <w:tr w:rsidR="00676D78" w:rsidRPr="00D77769" w:rsidTr="002F74FA">
        <w:trPr>
          <w:trHeight w:val="15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F509E6" w:rsidRDefault="00676D78" w:rsidP="003759AD">
            <w:pPr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lastRenderedPageBreak/>
              <w:t>Кредиты, полученные от кредитных организаций: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D78" w:rsidRPr="00F80C3B" w:rsidRDefault="00676D78" w:rsidP="00F80C3B">
            <w:pPr>
              <w:jc w:val="right"/>
              <w:rPr>
                <w:b/>
                <w:sz w:val="20"/>
                <w:szCs w:val="20"/>
              </w:rPr>
            </w:pPr>
            <w:r w:rsidRPr="00F80C3B">
              <w:rPr>
                <w:b/>
                <w:sz w:val="20"/>
                <w:szCs w:val="20"/>
              </w:rPr>
              <w:t xml:space="preserve">- </w:t>
            </w:r>
            <w:r w:rsidR="00F80C3B" w:rsidRPr="00F80C3B">
              <w:rPr>
                <w:b/>
                <w:sz w:val="20"/>
                <w:szCs w:val="20"/>
              </w:rPr>
              <w:t>2 495</w:t>
            </w:r>
            <w:r w:rsidRPr="00F80C3B">
              <w:rPr>
                <w:b/>
                <w:sz w:val="20"/>
                <w:szCs w:val="20"/>
              </w:rPr>
              <w:t> </w:t>
            </w:r>
            <w:r w:rsidR="00F80C3B" w:rsidRPr="00F80C3B">
              <w:rPr>
                <w:b/>
                <w:sz w:val="20"/>
                <w:szCs w:val="20"/>
              </w:rPr>
              <w:t>084</w:t>
            </w:r>
            <w:r w:rsidRPr="00F80C3B">
              <w:rPr>
                <w:b/>
                <w:sz w:val="20"/>
                <w:szCs w:val="20"/>
              </w:rPr>
              <w:t>,</w:t>
            </w:r>
            <w:r w:rsidR="00F80C3B" w:rsidRPr="00F80C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D77769" w:rsidRDefault="006B6218" w:rsidP="00697B41">
            <w:pPr>
              <w:jc w:val="right"/>
              <w:rPr>
                <w:b/>
                <w:sz w:val="20"/>
                <w:szCs w:val="20"/>
                <w:highlight w:val="lightGray"/>
              </w:rPr>
            </w:pPr>
            <w:r w:rsidRPr="00697B41">
              <w:rPr>
                <w:b/>
                <w:sz w:val="20"/>
                <w:szCs w:val="20"/>
              </w:rPr>
              <w:t xml:space="preserve">- </w:t>
            </w:r>
            <w:r w:rsidR="00697B41" w:rsidRPr="00697B41">
              <w:rPr>
                <w:b/>
                <w:sz w:val="20"/>
                <w:szCs w:val="20"/>
              </w:rPr>
              <w:t>1 4</w:t>
            </w:r>
            <w:r w:rsidRPr="00697B41">
              <w:rPr>
                <w:b/>
                <w:sz w:val="20"/>
                <w:szCs w:val="20"/>
              </w:rPr>
              <w:t>00 000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70E06" w:rsidRDefault="00270E06" w:rsidP="00270E06">
            <w:pPr>
              <w:jc w:val="right"/>
              <w:rPr>
                <w:b/>
                <w:sz w:val="20"/>
                <w:szCs w:val="20"/>
              </w:rPr>
            </w:pPr>
            <w:r w:rsidRPr="00270E06">
              <w:rPr>
                <w:b/>
                <w:sz w:val="20"/>
                <w:szCs w:val="20"/>
              </w:rPr>
              <w:t>1 095 084,2</w:t>
            </w:r>
          </w:p>
        </w:tc>
      </w:tr>
      <w:tr w:rsidR="00676D78" w:rsidRPr="00D77769" w:rsidTr="002F74FA">
        <w:trPr>
          <w:trHeight w:val="73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F509E6" w:rsidRDefault="00676D78" w:rsidP="003759AD">
            <w:pPr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 xml:space="preserve">привлечение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6D78" w:rsidRPr="00F80C3B" w:rsidRDefault="00F80C3B" w:rsidP="00F80C3B">
            <w:pPr>
              <w:jc w:val="right"/>
              <w:rPr>
                <w:sz w:val="20"/>
                <w:szCs w:val="20"/>
              </w:rPr>
            </w:pPr>
            <w:r w:rsidRPr="00F80C3B">
              <w:rPr>
                <w:sz w:val="20"/>
                <w:szCs w:val="20"/>
              </w:rPr>
              <w:t>29</w:t>
            </w:r>
            <w:r w:rsidR="00676D78" w:rsidRPr="00F80C3B">
              <w:rPr>
                <w:sz w:val="20"/>
                <w:szCs w:val="20"/>
              </w:rPr>
              <w:t> </w:t>
            </w:r>
            <w:r w:rsidRPr="00F80C3B">
              <w:rPr>
                <w:sz w:val="20"/>
                <w:szCs w:val="20"/>
              </w:rPr>
              <w:t>966</w:t>
            </w:r>
            <w:r w:rsidR="00676D78" w:rsidRPr="00F80C3B">
              <w:rPr>
                <w:sz w:val="20"/>
                <w:szCs w:val="20"/>
              </w:rPr>
              <w:t> </w:t>
            </w:r>
            <w:r w:rsidRPr="00F80C3B">
              <w:rPr>
                <w:sz w:val="20"/>
                <w:szCs w:val="20"/>
              </w:rPr>
              <w:t>744</w:t>
            </w:r>
            <w:r w:rsidR="00676D78" w:rsidRPr="00F80C3B">
              <w:rPr>
                <w:sz w:val="20"/>
                <w:szCs w:val="20"/>
              </w:rPr>
              <w:t>,</w:t>
            </w:r>
            <w:r w:rsidRPr="00F80C3B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697B41" w:rsidRDefault="00697B41" w:rsidP="003759AD">
            <w:pPr>
              <w:jc w:val="right"/>
              <w:rPr>
                <w:sz w:val="20"/>
                <w:szCs w:val="20"/>
              </w:rPr>
            </w:pPr>
            <w:r w:rsidRPr="00697B41">
              <w:rPr>
                <w:sz w:val="20"/>
                <w:szCs w:val="20"/>
              </w:rPr>
              <w:t>28 100 000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70E06" w:rsidRDefault="006B6218" w:rsidP="00270E06">
            <w:pPr>
              <w:jc w:val="right"/>
              <w:rPr>
                <w:sz w:val="20"/>
                <w:szCs w:val="20"/>
              </w:rPr>
            </w:pPr>
            <w:r w:rsidRPr="00270E06">
              <w:rPr>
                <w:sz w:val="20"/>
                <w:szCs w:val="20"/>
              </w:rPr>
              <w:t xml:space="preserve">- </w:t>
            </w:r>
            <w:r w:rsidR="00270E06" w:rsidRPr="00270E06">
              <w:rPr>
                <w:sz w:val="20"/>
                <w:szCs w:val="20"/>
              </w:rPr>
              <w:t>1</w:t>
            </w:r>
            <w:r w:rsidRPr="00270E06">
              <w:rPr>
                <w:sz w:val="20"/>
                <w:szCs w:val="20"/>
              </w:rPr>
              <w:t> </w:t>
            </w:r>
            <w:r w:rsidR="00270E06" w:rsidRPr="00270E06">
              <w:rPr>
                <w:sz w:val="20"/>
                <w:szCs w:val="20"/>
              </w:rPr>
              <w:t>866 744,8</w:t>
            </w:r>
          </w:p>
        </w:tc>
      </w:tr>
      <w:tr w:rsidR="00676D78" w:rsidRPr="00D77769" w:rsidTr="002F74FA">
        <w:trPr>
          <w:trHeight w:val="13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F509E6" w:rsidRDefault="00676D78" w:rsidP="003759AD">
            <w:pPr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 xml:space="preserve">погашение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D78" w:rsidRPr="00F80C3B" w:rsidRDefault="00F80C3B" w:rsidP="00F80C3B">
            <w:pPr>
              <w:jc w:val="right"/>
              <w:rPr>
                <w:sz w:val="20"/>
                <w:szCs w:val="20"/>
              </w:rPr>
            </w:pPr>
            <w:r w:rsidRPr="00F80C3B">
              <w:rPr>
                <w:sz w:val="20"/>
                <w:szCs w:val="20"/>
              </w:rPr>
              <w:t>32</w:t>
            </w:r>
            <w:r w:rsidR="00676D78" w:rsidRPr="00F80C3B">
              <w:rPr>
                <w:sz w:val="20"/>
                <w:szCs w:val="20"/>
              </w:rPr>
              <w:t> </w:t>
            </w:r>
            <w:r w:rsidRPr="00F80C3B">
              <w:rPr>
                <w:sz w:val="20"/>
                <w:szCs w:val="20"/>
              </w:rPr>
              <w:t>461</w:t>
            </w:r>
            <w:r w:rsidR="00676D78" w:rsidRPr="00F80C3B">
              <w:rPr>
                <w:sz w:val="20"/>
                <w:szCs w:val="20"/>
              </w:rPr>
              <w:t> </w:t>
            </w:r>
            <w:r w:rsidRPr="00F80C3B">
              <w:rPr>
                <w:sz w:val="20"/>
                <w:szCs w:val="20"/>
              </w:rPr>
              <w:t>829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697B41" w:rsidRDefault="00697B41" w:rsidP="003759AD">
            <w:pPr>
              <w:jc w:val="right"/>
              <w:rPr>
                <w:sz w:val="20"/>
                <w:szCs w:val="20"/>
              </w:rPr>
            </w:pPr>
            <w:r w:rsidRPr="00697B41">
              <w:rPr>
                <w:sz w:val="20"/>
                <w:szCs w:val="20"/>
              </w:rPr>
              <w:t>2</w:t>
            </w:r>
            <w:r w:rsidR="006B6218" w:rsidRPr="00697B41">
              <w:rPr>
                <w:sz w:val="20"/>
                <w:szCs w:val="20"/>
              </w:rPr>
              <w:t>9</w:t>
            </w:r>
            <w:r w:rsidRPr="00697B41">
              <w:rPr>
                <w:sz w:val="20"/>
                <w:szCs w:val="20"/>
              </w:rPr>
              <w:t> 500</w:t>
            </w:r>
            <w:r w:rsidR="006B6218" w:rsidRPr="00697B41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70E06" w:rsidRDefault="006B6218" w:rsidP="00270E06">
            <w:pPr>
              <w:jc w:val="right"/>
              <w:rPr>
                <w:sz w:val="20"/>
                <w:szCs w:val="20"/>
              </w:rPr>
            </w:pPr>
            <w:r w:rsidRPr="00270E06">
              <w:rPr>
                <w:sz w:val="20"/>
                <w:szCs w:val="20"/>
              </w:rPr>
              <w:t xml:space="preserve">- </w:t>
            </w:r>
            <w:r w:rsidR="00270E06" w:rsidRPr="00270E06">
              <w:rPr>
                <w:sz w:val="20"/>
                <w:szCs w:val="20"/>
              </w:rPr>
              <w:t>2 961 829</w:t>
            </w:r>
          </w:p>
        </w:tc>
      </w:tr>
      <w:tr w:rsidR="00676D78" w:rsidRPr="00D77769" w:rsidTr="002F74FA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D78" w:rsidRPr="00F509E6" w:rsidRDefault="00676D78" w:rsidP="003759AD">
            <w:pPr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>Бюджетные кредиты: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F80C3B" w:rsidRDefault="00F80C3B" w:rsidP="003759AD">
            <w:pPr>
              <w:jc w:val="right"/>
              <w:rPr>
                <w:b/>
                <w:sz w:val="20"/>
                <w:szCs w:val="20"/>
              </w:rPr>
            </w:pPr>
            <w:r w:rsidRPr="00F80C3B">
              <w:rPr>
                <w:b/>
                <w:sz w:val="20"/>
                <w:szCs w:val="20"/>
              </w:rPr>
              <w:t>2 063 21</w:t>
            </w:r>
            <w:r w:rsidR="00676D78" w:rsidRPr="00F80C3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697B41" w:rsidRDefault="00697B41" w:rsidP="003759AD">
            <w:pPr>
              <w:jc w:val="right"/>
              <w:rPr>
                <w:b/>
                <w:sz w:val="20"/>
                <w:szCs w:val="20"/>
              </w:rPr>
            </w:pPr>
            <w:r w:rsidRPr="00697B41">
              <w:rPr>
                <w:b/>
                <w:sz w:val="20"/>
                <w:szCs w:val="20"/>
              </w:rPr>
              <w:t>2 063 217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70E06" w:rsidRDefault="006B6218" w:rsidP="003759AD">
            <w:pPr>
              <w:jc w:val="right"/>
              <w:rPr>
                <w:b/>
                <w:sz w:val="20"/>
                <w:szCs w:val="20"/>
              </w:rPr>
            </w:pPr>
            <w:r w:rsidRPr="00270E06">
              <w:rPr>
                <w:b/>
                <w:sz w:val="20"/>
                <w:szCs w:val="20"/>
              </w:rPr>
              <w:t>0</w:t>
            </w:r>
          </w:p>
        </w:tc>
      </w:tr>
      <w:tr w:rsidR="00676D78" w:rsidRPr="00D77769" w:rsidTr="002F74FA">
        <w:trPr>
          <w:trHeight w:val="84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F509E6" w:rsidRDefault="00676D78" w:rsidP="003759AD">
            <w:pPr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 xml:space="preserve">привлечение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F80C3B" w:rsidRDefault="00F80C3B" w:rsidP="00F80C3B">
            <w:pPr>
              <w:jc w:val="right"/>
              <w:rPr>
                <w:sz w:val="20"/>
                <w:szCs w:val="20"/>
              </w:rPr>
            </w:pPr>
            <w:r w:rsidRPr="00F80C3B">
              <w:rPr>
                <w:sz w:val="20"/>
                <w:szCs w:val="20"/>
              </w:rPr>
              <w:t>28</w:t>
            </w:r>
            <w:r w:rsidR="00676D78" w:rsidRPr="00F80C3B">
              <w:rPr>
                <w:sz w:val="20"/>
                <w:szCs w:val="20"/>
              </w:rPr>
              <w:t> </w:t>
            </w:r>
            <w:r w:rsidRPr="00F80C3B">
              <w:rPr>
                <w:sz w:val="20"/>
                <w:szCs w:val="20"/>
              </w:rPr>
              <w:t>144</w:t>
            </w:r>
            <w:r w:rsidR="00676D78" w:rsidRPr="00F80C3B">
              <w:rPr>
                <w:sz w:val="20"/>
                <w:szCs w:val="20"/>
              </w:rPr>
              <w:t xml:space="preserve"> </w:t>
            </w:r>
            <w:r w:rsidRPr="00F80C3B">
              <w:rPr>
                <w:sz w:val="20"/>
                <w:szCs w:val="20"/>
              </w:rPr>
              <w:t>059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697B41" w:rsidRDefault="006B6218" w:rsidP="00697B41">
            <w:pPr>
              <w:jc w:val="right"/>
              <w:rPr>
                <w:sz w:val="20"/>
                <w:szCs w:val="20"/>
              </w:rPr>
            </w:pPr>
            <w:r w:rsidRPr="00697B41">
              <w:rPr>
                <w:sz w:val="20"/>
                <w:szCs w:val="20"/>
              </w:rPr>
              <w:t>2</w:t>
            </w:r>
            <w:r w:rsidR="00697B41" w:rsidRPr="00697B41">
              <w:rPr>
                <w:sz w:val="20"/>
                <w:szCs w:val="20"/>
              </w:rPr>
              <w:t>1</w:t>
            </w:r>
            <w:r w:rsidRPr="00697B41">
              <w:rPr>
                <w:sz w:val="20"/>
                <w:szCs w:val="20"/>
              </w:rPr>
              <w:t> </w:t>
            </w:r>
            <w:r w:rsidR="00697B41" w:rsidRPr="00697B41">
              <w:rPr>
                <w:sz w:val="20"/>
                <w:szCs w:val="20"/>
              </w:rPr>
              <w:t>863</w:t>
            </w:r>
            <w:r w:rsidRPr="00697B41">
              <w:rPr>
                <w:sz w:val="20"/>
                <w:szCs w:val="20"/>
              </w:rPr>
              <w:t xml:space="preserve"> 2</w:t>
            </w:r>
            <w:r w:rsidR="00697B41" w:rsidRPr="00697B41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70E06" w:rsidRDefault="006B6218" w:rsidP="00270E06">
            <w:pPr>
              <w:jc w:val="right"/>
              <w:rPr>
                <w:sz w:val="20"/>
                <w:szCs w:val="20"/>
              </w:rPr>
            </w:pPr>
            <w:r w:rsidRPr="00270E06">
              <w:rPr>
                <w:sz w:val="20"/>
                <w:szCs w:val="20"/>
              </w:rPr>
              <w:t>-</w:t>
            </w:r>
            <w:r w:rsidR="00270E06" w:rsidRPr="00270E06">
              <w:rPr>
                <w:sz w:val="20"/>
                <w:szCs w:val="20"/>
              </w:rPr>
              <w:t>6</w:t>
            </w:r>
            <w:r w:rsidRPr="00270E06">
              <w:rPr>
                <w:sz w:val="20"/>
                <w:szCs w:val="20"/>
              </w:rPr>
              <w:t> </w:t>
            </w:r>
            <w:r w:rsidR="00270E06" w:rsidRPr="00270E06">
              <w:rPr>
                <w:sz w:val="20"/>
                <w:szCs w:val="20"/>
              </w:rPr>
              <w:t>280</w:t>
            </w:r>
            <w:r w:rsidRPr="00270E06">
              <w:rPr>
                <w:sz w:val="20"/>
                <w:szCs w:val="20"/>
              </w:rPr>
              <w:t xml:space="preserve"> </w:t>
            </w:r>
            <w:r w:rsidR="00270E06" w:rsidRPr="00270E06">
              <w:rPr>
                <w:sz w:val="20"/>
                <w:szCs w:val="20"/>
              </w:rPr>
              <w:t>842</w:t>
            </w:r>
          </w:p>
        </w:tc>
      </w:tr>
      <w:tr w:rsidR="00676D78" w:rsidRPr="00D77769" w:rsidTr="002F74FA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F509E6" w:rsidRDefault="00676D78" w:rsidP="003759AD">
            <w:pPr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>погашение основной суммы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F80C3B" w:rsidRDefault="00F80C3B" w:rsidP="00F80C3B">
            <w:pPr>
              <w:jc w:val="right"/>
              <w:rPr>
                <w:sz w:val="20"/>
                <w:szCs w:val="20"/>
              </w:rPr>
            </w:pPr>
            <w:r w:rsidRPr="00F80C3B">
              <w:rPr>
                <w:sz w:val="20"/>
                <w:szCs w:val="20"/>
              </w:rPr>
              <w:t>26 080 842</w:t>
            </w:r>
            <w:r w:rsidR="00676D78" w:rsidRPr="00F80C3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697B41" w:rsidRDefault="006B6218" w:rsidP="00697B41">
            <w:pPr>
              <w:jc w:val="right"/>
              <w:rPr>
                <w:sz w:val="20"/>
                <w:szCs w:val="20"/>
              </w:rPr>
            </w:pPr>
            <w:r w:rsidRPr="00697B41">
              <w:rPr>
                <w:sz w:val="20"/>
                <w:szCs w:val="20"/>
              </w:rPr>
              <w:t>1</w:t>
            </w:r>
            <w:r w:rsidR="00697B41" w:rsidRPr="00697B41">
              <w:rPr>
                <w:sz w:val="20"/>
                <w:szCs w:val="20"/>
              </w:rPr>
              <w:t>9</w:t>
            </w:r>
            <w:r w:rsidRPr="00697B41">
              <w:rPr>
                <w:sz w:val="20"/>
                <w:szCs w:val="20"/>
              </w:rPr>
              <w:t> </w:t>
            </w:r>
            <w:r w:rsidR="00697B41" w:rsidRPr="00697B41">
              <w:rPr>
                <w:sz w:val="20"/>
                <w:szCs w:val="20"/>
              </w:rPr>
              <w:t>800</w:t>
            </w:r>
            <w:r w:rsidRPr="00697B41">
              <w:rPr>
                <w:sz w:val="20"/>
                <w:szCs w:val="20"/>
              </w:rPr>
              <w:t xml:space="preserve"> </w:t>
            </w:r>
            <w:r w:rsidR="00697B41" w:rsidRPr="00697B41">
              <w:rPr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70E06" w:rsidRDefault="006B6218" w:rsidP="00270E06">
            <w:pPr>
              <w:jc w:val="right"/>
              <w:rPr>
                <w:sz w:val="20"/>
                <w:szCs w:val="20"/>
              </w:rPr>
            </w:pPr>
            <w:r w:rsidRPr="00270E06">
              <w:rPr>
                <w:sz w:val="20"/>
                <w:szCs w:val="20"/>
              </w:rPr>
              <w:t xml:space="preserve">- </w:t>
            </w:r>
            <w:r w:rsidR="00270E06" w:rsidRPr="00270E06">
              <w:rPr>
                <w:sz w:val="20"/>
                <w:szCs w:val="20"/>
              </w:rPr>
              <w:t>6 </w:t>
            </w:r>
            <w:r w:rsidRPr="00270E06">
              <w:rPr>
                <w:sz w:val="20"/>
                <w:szCs w:val="20"/>
              </w:rPr>
              <w:t>2</w:t>
            </w:r>
            <w:r w:rsidR="00270E06" w:rsidRPr="00270E06">
              <w:rPr>
                <w:sz w:val="20"/>
                <w:szCs w:val="20"/>
              </w:rPr>
              <w:t>80 842</w:t>
            </w:r>
          </w:p>
        </w:tc>
      </w:tr>
      <w:tr w:rsidR="00676D78" w:rsidRPr="00D77769" w:rsidTr="002F74FA">
        <w:trPr>
          <w:trHeight w:val="13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78" w:rsidRPr="00F509E6" w:rsidRDefault="00676D78" w:rsidP="003759AD">
            <w:pPr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>Общий объем внутренних заимствований: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6D78" w:rsidRPr="00D77769" w:rsidRDefault="00F80C3B" w:rsidP="00676D78">
            <w:pPr>
              <w:jc w:val="right"/>
              <w:rPr>
                <w:b/>
                <w:sz w:val="20"/>
                <w:szCs w:val="20"/>
                <w:highlight w:val="lightGray"/>
                <w:lang w:val="en-US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F80C3B">
              <w:rPr>
                <w:b/>
                <w:sz w:val="20"/>
                <w:szCs w:val="20"/>
              </w:rPr>
              <w:t>42 570,2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70E06" w:rsidRDefault="006B6218" w:rsidP="00697B41">
            <w:pPr>
              <w:jc w:val="right"/>
              <w:rPr>
                <w:b/>
                <w:sz w:val="20"/>
                <w:szCs w:val="20"/>
              </w:rPr>
            </w:pPr>
            <w:r w:rsidRPr="00270E06">
              <w:rPr>
                <w:b/>
                <w:sz w:val="20"/>
                <w:szCs w:val="20"/>
              </w:rPr>
              <w:t>2 </w:t>
            </w:r>
            <w:r w:rsidR="00697B41" w:rsidRPr="00270E06">
              <w:rPr>
                <w:b/>
                <w:sz w:val="20"/>
                <w:szCs w:val="20"/>
              </w:rPr>
              <w:t>750 503,3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B015C0" w:rsidRDefault="00676D78" w:rsidP="006B6218">
            <w:pPr>
              <w:jc w:val="right"/>
              <w:rPr>
                <w:b/>
                <w:sz w:val="20"/>
                <w:szCs w:val="20"/>
              </w:rPr>
            </w:pPr>
            <w:r w:rsidRPr="00B015C0">
              <w:rPr>
                <w:b/>
                <w:sz w:val="20"/>
                <w:szCs w:val="20"/>
              </w:rPr>
              <w:t xml:space="preserve"> </w:t>
            </w:r>
            <w:r w:rsidR="00270E06" w:rsidRPr="00B015C0">
              <w:rPr>
                <w:b/>
                <w:sz w:val="20"/>
                <w:szCs w:val="20"/>
              </w:rPr>
              <w:t>2 007 933,1</w:t>
            </w:r>
          </w:p>
        </w:tc>
      </w:tr>
      <w:tr w:rsidR="00676D78" w:rsidRPr="00D77769" w:rsidTr="002F74FA">
        <w:trPr>
          <w:trHeight w:val="70"/>
        </w:trPr>
        <w:tc>
          <w:tcPr>
            <w:tcW w:w="3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F509E6" w:rsidRDefault="00676D78" w:rsidP="003759AD">
            <w:pPr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 xml:space="preserve">привлечение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D77769" w:rsidRDefault="00F80C3B" w:rsidP="00F80C3B">
            <w:pPr>
              <w:jc w:val="right"/>
              <w:rPr>
                <w:sz w:val="20"/>
                <w:szCs w:val="20"/>
                <w:highlight w:val="lightGray"/>
              </w:rPr>
            </w:pPr>
            <w:r w:rsidRPr="00F80C3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  <w:r w:rsidRPr="00F80C3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Pr="00F80C3B">
              <w:rPr>
                <w:sz w:val="20"/>
                <w:szCs w:val="20"/>
              </w:rPr>
              <w:t>60 803,8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70E06" w:rsidRDefault="00697B41" w:rsidP="003759AD">
            <w:pPr>
              <w:jc w:val="right"/>
              <w:rPr>
                <w:sz w:val="20"/>
                <w:szCs w:val="20"/>
              </w:rPr>
            </w:pPr>
            <w:r w:rsidRPr="00270E06">
              <w:rPr>
                <w:sz w:val="20"/>
                <w:szCs w:val="20"/>
              </w:rPr>
              <w:t>55 941 136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B015C0" w:rsidRDefault="00B015C0" w:rsidP="003759AD">
            <w:pPr>
              <w:jc w:val="right"/>
              <w:rPr>
                <w:sz w:val="20"/>
                <w:szCs w:val="20"/>
              </w:rPr>
            </w:pPr>
            <w:r w:rsidRPr="00B015C0">
              <w:rPr>
                <w:sz w:val="20"/>
                <w:szCs w:val="20"/>
              </w:rPr>
              <w:t>-12 019 667,8</w:t>
            </w:r>
          </w:p>
        </w:tc>
      </w:tr>
      <w:tr w:rsidR="00676D78" w:rsidRPr="00D77769" w:rsidTr="002F74FA">
        <w:trPr>
          <w:trHeight w:val="111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F509E6" w:rsidRDefault="00676D78" w:rsidP="003759AD">
            <w:pPr>
              <w:rPr>
                <w:sz w:val="20"/>
                <w:szCs w:val="20"/>
              </w:rPr>
            </w:pPr>
            <w:r w:rsidRPr="00F509E6">
              <w:rPr>
                <w:sz w:val="20"/>
                <w:szCs w:val="20"/>
              </w:rPr>
              <w:t>погашение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D77769" w:rsidRDefault="00F80C3B" w:rsidP="003759AD">
            <w:pPr>
              <w:jc w:val="right"/>
              <w:rPr>
                <w:sz w:val="20"/>
                <w:szCs w:val="20"/>
                <w:highlight w:val="lightGray"/>
              </w:rPr>
            </w:pPr>
            <w:r w:rsidRPr="00F80C3B">
              <w:rPr>
                <w:sz w:val="20"/>
                <w:szCs w:val="20"/>
              </w:rPr>
              <w:t>67 218 233,6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270E06" w:rsidRDefault="00697B41" w:rsidP="003759AD">
            <w:pPr>
              <w:jc w:val="right"/>
              <w:rPr>
                <w:sz w:val="20"/>
                <w:szCs w:val="20"/>
              </w:rPr>
            </w:pPr>
            <w:r w:rsidRPr="00270E06">
              <w:rPr>
                <w:sz w:val="20"/>
                <w:szCs w:val="20"/>
              </w:rPr>
              <w:t>53 190 632,7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8" w:rsidRPr="00B015C0" w:rsidRDefault="00B015C0" w:rsidP="003759AD">
            <w:pPr>
              <w:jc w:val="right"/>
              <w:rPr>
                <w:sz w:val="20"/>
                <w:szCs w:val="20"/>
              </w:rPr>
            </w:pPr>
            <w:r w:rsidRPr="00B015C0">
              <w:rPr>
                <w:sz w:val="20"/>
                <w:szCs w:val="20"/>
              </w:rPr>
              <w:t>-14 027 600,9</w:t>
            </w:r>
          </w:p>
        </w:tc>
      </w:tr>
    </w:tbl>
    <w:p w:rsidR="0022496C" w:rsidRPr="00D77769" w:rsidRDefault="0022496C">
      <w:pPr>
        <w:rPr>
          <w:highlight w:val="lightGray"/>
        </w:rPr>
      </w:pPr>
    </w:p>
    <w:p w:rsidR="008F61D6" w:rsidRPr="005B4D38" w:rsidRDefault="008F61D6" w:rsidP="00277736">
      <w:pPr>
        <w:pStyle w:val="a3"/>
        <w:tabs>
          <w:tab w:val="left" w:pos="9900"/>
          <w:tab w:val="left" w:pos="10080"/>
        </w:tabs>
        <w:spacing w:after="0"/>
        <w:ind w:firstLine="709"/>
        <w:jc w:val="both"/>
      </w:pPr>
      <w:r w:rsidRPr="00277736">
        <w:rPr>
          <w:b/>
        </w:rPr>
        <w:t>Государственный внутренний долг Томской области</w:t>
      </w:r>
      <w:r w:rsidRPr="005B4D38">
        <w:t xml:space="preserve"> </w:t>
      </w:r>
      <w:r w:rsidRPr="00277736">
        <w:rPr>
          <w:b/>
        </w:rPr>
        <w:t>по государственным ценным бумагам</w:t>
      </w:r>
      <w:r w:rsidRPr="005B4D38">
        <w:t xml:space="preserve"> Томской области по состоянию на 01.01.201</w:t>
      </w:r>
      <w:r w:rsidR="005B4D38" w:rsidRPr="005B4D38">
        <w:t>8</w:t>
      </w:r>
      <w:r w:rsidRPr="005B4D38">
        <w:t xml:space="preserve"> составил</w:t>
      </w:r>
      <w:r w:rsidR="005B4D38" w:rsidRPr="005B4D38">
        <w:t xml:space="preserve"> 11</w:t>
      </w:r>
      <w:r w:rsidR="005B4D38">
        <w:rPr>
          <w:lang w:val="en-US"/>
        </w:rPr>
        <w:t> </w:t>
      </w:r>
      <w:r w:rsidR="005B4D38" w:rsidRPr="005B4D38">
        <w:t>929</w:t>
      </w:r>
      <w:r w:rsidR="005B4D38">
        <w:rPr>
          <w:lang w:val="en-US"/>
        </w:rPr>
        <w:t> </w:t>
      </w:r>
      <w:r w:rsidR="005B4D38" w:rsidRPr="005B4D38">
        <w:t xml:space="preserve">199 </w:t>
      </w:r>
      <w:proofErr w:type="spellStart"/>
      <w:r w:rsidR="005B4D38">
        <w:t>тыс</w:t>
      </w:r>
      <w:proofErr w:type="gramStart"/>
      <w:r w:rsidR="005B4D38">
        <w:t>.р</w:t>
      </w:r>
      <w:proofErr w:type="gramEnd"/>
      <w:r w:rsidR="005B4D38">
        <w:t>уб</w:t>
      </w:r>
      <w:proofErr w:type="spellEnd"/>
      <w:r w:rsidR="009006B6">
        <w:t>.</w:t>
      </w:r>
      <w:r w:rsidR="00277736">
        <w:t xml:space="preserve"> и </w:t>
      </w:r>
      <w:r w:rsidRPr="005B4D38">
        <w:t>увеличился по сравнению с 201</w:t>
      </w:r>
      <w:r w:rsidR="005B4D38" w:rsidRPr="005B4D38">
        <w:t>6</w:t>
      </w:r>
      <w:r w:rsidRPr="005B4D38">
        <w:t xml:space="preserve"> годом на 2</w:t>
      </w:r>
      <w:r w:rsidR="005B4D38" w:rsidRPr="005B4D38">
        <w:t> 0</w:t>
      </w:r>
      <w:r w:rsidRPr="005B4D38">
        <w:t>5</w:t>
      </w:r>
      <w:r w:rsidR="005B4D38" w:rsidRPr="005B4D38">
        <w:t>0 170</w:t>
      </w:r>
      <w:r w:rsidRPr="005B4D38">
        <w:t xml:space="preserve"> </w:t>
      </w:r>
      <w:proofErr w:type="spellStart"/>
      <w:r w:rsidRPr="005B4D38">
        <w:t>тыс.руб</w:t>
      </w:r>
      <w:proofErr w:type="spellEnd"/>
      <w:r w:rsidRPr="005B4D38">
        <w:t xml:space="preserve">., или на </w:t>
      </w:r>
      <w:r w:rsidR="005B4D38" w:rsidRPr="005B4D38">
        <w:t>20,8</w:t>
      </w:r>
      <w:r w:rsidRPr="005B4D38">
        <w:t>%.</w:t>
      </w:r>
    </w:p>
    <w:p w:rsidR="00277736" w:rsidRDefault="008F61D6" w:rsidP="00277736">
      <w:pPr>
        <w:pStyle w:val="a3"/>
        <w:tabs>
          <w:tab w:val="left" w:pos="9900"/>
          <w:tab w:val="left" w:pos="10080"/>
        </w:tabs>
        <w:spacing w:after="0"/>
        <w:ind w:firstLine="709"/>
        <w:jc w:val="both"/>
      </w:pPr>
      <w:r w:rsidRPr="0083266C">
        <w:t>По данным бухгалтерск</w:t>
      </w:r>
      <w:r w:rsidR="00277736">
        <w:t>ого учета и долговой книги облигации Томской области в 2017 году:</w:t>
      </w:r>
    </w:p>
    <w:p w:rsidR="00277736" w:rsidRDefault="00277736" w:rsidP="00277736">
      <w:pPr>
        <w:pStyle w:val="a3"/>
        <w:tabs>
          <w:tab w:val="left" w:pos="9900"/>
          <w:tab w:val="left" w:pos="10080"/>
        </w:tabs>
        <w:spacing w:after="0"/>
        <w:ind w:firstLine="709"/>
        <w:jc w:val="both"/>
      </w:pPr>
      <w:r>
        <w:t xml:space="preserve">1) </w:t>
      </w:r>
      <w:r w:rsidR="008F61D6" w:rsidRPr="0083266C">
        <w:t>размещены (</w:t>
      </w:r>
      <w:proofErr w:type="spellStart"/>
      <w:r w:rsidR="008F61D6" w:rsidRPr="0083266C">
        <w:t>доразмещены</w:t>
      </w:r>
      <w:proofErr w:type="spellEnd"/>
      <w:r w:rsidR="008F61D6" w:rsidRPr="0083266C">
        <w:t xml:space="preserve">) </w:t>
      </w:r>
      <w:r>
        <w:t>н</w:t>
      </w:r>
      <w:r w:rsidR="008F61D6" w:rsidRPr="0083266C">
        <w:t xml:space="preserve">а общую </w:t>
      </w:r>
      <w:r w:rsidR="008F61D6" w:rsidRPr="00194651">
        <w:t xml:space="preserve">сумму </w:t>
      </w:r>
      <w:r w:rsidR="00194651" w:rsidRPr="00194651">
        <w:t>5</w:t>
      </w:r>
      <w:r w:rsidR="008F61D6" w:rsidRPr="00194651">
        <w:t> </w:t>
      </w:r>
      <w:r w:rsidR="00194651" w:rsidRPr="00194651">
        <w:t>9</w:t>
      </w:r>
      <w:r w:rsidR="00FC4331">
        <w:t>7</w:t>
      </w:r>
      <w:r w:rsidR="00194651" w:rsidRPr="00194651">
        <w:t>7</w:t>
      </w:r>
      <w:r w:rsidR="008F61D6" w:rsidRPr="00194651">
        <w:t xml:space="preserve"> </w:t>
      </w:r>
      <w:r w:rsidR="00194651" w:rsidRPr="00194651">
        <w:t>919</w:t>
      </w:r>
      <w:r w:rsidR="008F61D6" w:rsidRPr="00194651">
        <w:t xml:space="preserve"> </w:t>
      </w:r>
      <w:proofErr w:type="spellStart"/>
      <w:r w:rsidR="008F61D6" w:rsidRPr="00194651">
        <w:t>тыс</w:t>
      </w:r>
      <w:proofErr w:type="gramStart"/>
      <w:r w:rsidR="008F61D6" w:rsidRPr="00194651">
        <w:t>.р</w:t>
      </w:r>
      <w:proofErr w:type="gramEnd"/>
      <w:r w:rsidR="008F61D6" w:rsidRPr="00194651">
        <w:t>уб</w:t>
      </w:r>
      <w:proofErr w:type="spellEnd"/>
      <w:r w:rsidR="008F61D6" w:rsidRPr="00194651">
        <w:t xml:space="preserve">., </w:t>
      </w:r>
    </w:p>
    <w:p w:rsidR="001E58A3" w:rsidRDefault="00277736" w:rsidP="00277736">
      <w:pPr>
        <w:pStyle w:val="a3"/>
        <w:tabs>
          <w:tab w:val="left" w:pos="9900"/>
          <w:tab w:val="left" w:pos="10080"/>
        </w:tabs>
        <w:spacing w:after="0"/>
        <w:ind w:firstLine="709"/>
        <w:jc w:val="both"/>
      </w:pPr>
      <w:r>
        <w:t xml:space="preserve">2) </w:t>
      </w:r>
      <w:r w:rsidR="008F61D6" w:rsidRPr="001F36F0">
        <w:t>п</w:t>
      </w:r>
      <w:r>
        <w:t>огашены (выкуплены)</w:t>
      </w:r>
      <w:r w:rsidR="008F61D6" w:rsidRPr="001F36F0">
        <w:t xml:space="preserve"> по номинальной стоимости </w:t>
      </w:r>
      <w:r>
        <w:t>н</w:t>
      </w:r>
      <w:r w:rsidRPr="0083266C">
        <w:t xml:space="preserve">а общую </w:t>
      </w:r>
      <w:r w:rsidRPr="00194651">
        <w:t>сумму</w:t>
      </w:r>
      <w:r w:rsidR="008F61D6" w:rsidRPr="001F36F0">
        <w:t xml:space="preserve"> </w:t>
      </w:r>
      <w:r w:rsidR="001F36F0">
        <w:t>3</w:t>
      </w:r>
      <w:r w:rsidR="00012841" w:rsidRPr="001F36F0">
        <w:rPr>
          <w:lang w:val="en-US"/>
        </w:rPr>
        <w:t> </w:t>
      </w:r>
      <w:r w:rsidR="00012841" w:rsidRPr="001F36F0">
        <w:t>9</w:t>
      </w:r>
      <w:r w:rsidR="00A6380E">
        <w:t>27</w:t>
      </w:r>
      <w:r w:rsidR="00012841" w:rsidRPr="001F36F0">
        <w:t xml:space="preserve"> </w:t>
      </w:r>
      <w:r w:rsidR="00A6380E">
        <w:t>749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77736" w:rsidRDefault="000A16E3" w:rsidP="00277736">
      <w:pPr>
        <w:ind w:firstLine="709"/>
        <w:jc w:val="both"/>
      </w:pPr>
      <w:proofErr w:type="gramStart"/>
      <w:r>
        <w:t xml:space="preserve">В нарушение п.12 Решения об эмиссии облигаций областного внутреннего займа Томской области с постоянным купонным доходом (государственный регистрационный номер </w:t>
      </w:r>
      <w:r>
        <w:rPr>
          <w:lang w:val="en-US"/>
        </w:rPr>
        <w:t>RU</w:t>
      </w:r>
      <w:r w:rsidRPr="000A16E3">
        <w:t>25058</w:t>
      </w:r>
      <w:r>
        <w:rPr>
          <w:lang w:val="en-US"/>
        </w:rPr>
        <w:t>TMS</w:t>
      </w:r>
      <w:r w:rsidRPr="000A16E3">
        <w:t>0</w:t>
      </w:r>
      <w:r>
        <w:t xml:space="preserve">), утвержденного приказом Департамента финансов Томской области от 26.12.2016 № 59 и в нарушение п.3.2.4.2 государственного контракта от 18.02.2016 № 10-ГК на оказание услуг по размещению облигаций областных внутренних займов Томской области, Департаментом финансов Томской области </w:t>
      </w:r>
      <w:r w:rsidR="008248B4">
        <w:t>в Томское отделение № 8616 ПАО</w:t>
      </w:r>
      <w:proofErr w:type="gramEnd"/>
      <w:r w:rsidR="008248B4">
        <w:t xml:space="preserve"> </w:t>
      </w:r>
      <w:r w:rsidR="001010BA">
        <w:t>«</w:t>
      </w:r>
      <w:r w:rsidR="008248B4">
        <w:t>Сбербанк</w:t>
      </w:r>
      <w:r w:rsidR="001010BA">
        <w:t xml:space="preserve"> России»</w:t>
      </w:r>
      <w:r w:rsidR="00E07FAA">
        <w:t xml:space="preserve"> 16.05.2017</w:t>
      </w:r>
      <w:r w:rsidR="008248B4">
        <w:t xml:space="preserve"> перечислено </w:t>
      </w:r>
      <w:r w:rsidR="006873E1">
        <w:t xml:space="preserve">на 297 </w:t>
      </w:r>
      <w:proofErr w:type="spellStart"/>
      <w:r w:rsidR="006873E1">
        <w:t>тыс</w:t>
      </w:r>
      <w:proofErr w:type="gramStart"/>
      <w:r w:rsidR="006873E1">
        <w:t>.р</w:t>
      </w:r>
      <w:proofErr w:type="gramEnd"/>
      <w:r w:rsidR="006873E1">
        <w:t>уб</w:t>
      </w:r>
      <w:proofErr w:type="spellEnd"/>
      <w:r w:rsidR="006873E1">
        <w:t xml:space="preserve">. меньше </w:t>
      </w:r>
      <w:r w:rsidR="00E07FAA">
        <w:t>для выплаты купонного дохода за 3-ий купонный период</w:t>
      </w:r>
      <w:r w:rsidR="00277736">
        <w:t>.</w:t>
      </w:r>
    </w:p>
    <w:p w:rsidR="0063064F" w:rsidRPr="00FD44FE" w:rsidRDefault="0063064F" w:rsidP="00277736">
      <w:pPr>
        <w:ind w:firstLine="709"/>
        <w:jc w:val="both"/>
      </w:pPr>
      <w:r w:rsidRPr="00FD44FE">
        <w:t>Согласно данным бухгалтерского учета и долговой книги</w:t>
      </w:r>
      <w:r w:rsidR="00CD1AE7" w:rsidRPr="00FD44FE">
        <w:t xml:space="preserve"> </w:t>
      </w:r>
      <w:r w:rsidRPr="00FD44FE">
        <w:t>по состоянию на 01.01.201</w:t>
      </w:r>
      <w:r w:rsidR="00FD44FE" w:rsidRPr="00FD44FE">
        <w:t>8</w:t>
      </w:r>
      <w:r w:rsidRPr="00FD44FE">
        <w:t xml:space="preserve"> </w:t>
      </w:r>
      <w:r w:rsidRPr="00277736">
        <w:rPr>
          <w:b/>
        </w:rPr>
        <w:t>задолженность по кредитам кредитных организаций</w:t>
      </w:r>
      <w:r w:rsidRPr="00FD44FE">
        <w:t xml:space="preserve"> составила </w:t>
      </w:r>
      <w:r w:rsidR="00FD44FE" w:rsidRPr="00FD44FE">
        <w:t>7 5</w:t>
      </w:r>
      <w:r w:rsidR="00277736">
        <w:t xml:space="preserve">50 000 </w:t>
      </w:r>
      <w:proofErr w:type="spellStart"/>
      <w:r w:rsidR="00277736">
        <w:t>тыс</w:t>
      </w:r>
      <w:proofErr w:type="gramStart"/>
      <w:r w:rsidR="00277736">
        <w:t>.р</w:t>
      </w:r>
      <w:proofErr w:type="gramEnd"/>
      <w:r w:rsidR="00277736">
        <w:t>уб</w:t>
      </w:r>
      <w:proofErr w:type="spellEnd"/>
      <w:r w:rsidR="00277736">
        <w:t xml:space="preserve">. и </w:t>
      </w:r>
      <w:r w:rsidRPr="00FD44FE">
        <w:t>уменьшил</w:t>
      </w:r>
      <w:r w:rsidR="00277736">
        <w:t>ась</w:t>
      </w:r>
      <w:r w:rsidRPr="00FD44FE">
        <w:t xml:space="preserve"> </w:t>
      </w:r>
      <w:r w:rsidR="00967028" w:rsidRPr="005B4D38">
        <w:t>по сравнению с 2016 годом</w:t>
      </w:r>
      <w:r w:rsidR="00967028" w:rsidRPr="00FD44FE">
        <w:t xml:space="preserve"> </w:t>
      </w:r>
      <w:r w:rsidRPr="00FD44FE">
        <w:t xml:space="preserve">на </w:t>
      </w:r>
      <w:r w:rsidR="00FD44FE" w:rsidRPr="00FD44FE">
        <w:t>1 4</w:t>
      </w:r>
      <w:r w:rsidRPr="00FD44FE">
        <w:t xml:space="preserve">00 000 </w:t>
      </w:r>
      <w:proofErr w:type="spellStart"/>
      <w:r w:rsidRPr="00FD44FE">
        <w:t>тыс.руб</w:t>
      </w:r>
      <w:proofErr w:type="spellEnd"/>
      <w:r w:rsidRPr="00FD44FE">
        <w:t xml:space="preserve">., или на </w:t>
      </w:r>
      <w:r w:rsidR="00FD44FE" w:rsidRPr="00FD44FE">
        <w:t>15,6</w:t>
      </w:r>
      <w:r w:rsidRPr="00FD44FE">
        <w:t>%.</w:t>
      </w:r>
    </w:p>
    <w:p w:rsidR="003B229F" w:rsidRDefault="0063064F" w:rsidP="00967028">
      <w:pPr>
        <w:autoSpaceDE w:val="0"/>
        <w:autoSpaceDN w:val="0"/>
        <w:adjustRightInd w:val="0"/>
        <w:ind w:firstLine="720"/>
        <w:jc w:val="both"/>
      </w:pPr>
      <w:r w:rsidRPr="00514992">
        <w:t>Департаментом финансов</w:t>
      </w:r>
      <w:r w:rsidR="003B229F">
        <w:t xml:space="preserve"> </w:t>
      </w:r>
      <w:r w:rsidR="00810F42">
        <w:t>Томской области</w:t>
      </w:r>
      <w:r w:rsidR="00C55124">
        <w:t xml:space="preserve"> в 2017 году</w:t>
      </w:r>
      <w:r w:rsidR="00810F42">
        <w:t xml:space="preserve"> </w:t>
      </w:r>
      <w:r w:rsidR="00D9746F" w:rsidRPr="00514992">
        <w:t>объявлены</w:t>
      </w:r>
      <w:r w:rsidR="000C3B9F" w:rsidRPr="00514992">
        <w:t xml:space="preserve"> </w:t>
      </w:r>
      <w:r w:rsidR="00BC48A4" w:rsidRPr="00514992">
        <w:t>15</w:t>
      </w:r>
      <w:r w:rsidR="00D9746F" w:rsidRPr="00514992">
        <w:t xml:space="preserve"> электронных аукцион</w:t>
      </w:r>
      <w:r w:rsidR="003B0B9B">
        <w:t>ов</w:t>
      </w:r>
      <w:r w:rsidR="00D9746F" w:rsidRPr="00514992">
        <w:t xml:space="preserve"> по привлечению кредитных ресурсов</w:t>
      </w:r>
      <w:r w:rsidR="00514992">
        <w:t xml:space="preserve"> общим объемом 11 500 000 </w:t>
      </w:r>
      <w:proofErr w:type="spellStart"/>
      <w:r w:rsidR="00514992">
        <w:t>тыс</w:t>
      </w:r>
      <w:proofErr w:type="gramStart"/>
      <w:r w:rsidR="00514992">
        <w:t>.р</w:t>
      </w:r>
      <w:proofErr w:type="gramEnd"/>
      <w:r w:rsidR="00514992">
        <w:t>уб</w:t>
      </w:r>
      <w:proofErr w:type="spellEnd"/>
      <w:r w:rsidR="00514992">
        <w:t>.</w:t>
      </w:r>
      <w:r w:rsidR="009C2BD6">
        <w:t xml:space="preserve"> Следует отметить, что все </w:t>
      </w:r>
      <w:r w:rsidR="00C55124">
        <w:t>объявленные</w:t>
      </w:r>
      <w:r w:rsidR="009C2BD6">
        <w:t xml:space="preserve"> электронные аукционы состоялись, при этом в ходе торгов начальная (максимальная) цена по всем закупкам снижена на 14,6%. </w:t>
      </w:r>
    </w:p>
    <w:p w:rsidR="008F61D6" w:rsidRPr="003B229F" w:rsidRDefault="00967028" w:rsidP="003B229F">
      <w:pPr>
        <w:autoSpaceDE w:val="0"/>
        <w:autoSpaceDN w:val="0"/>
        <w:adjustRightInd w:val="0"/>
        <w:ind w:firstLine="709"/>
        <w:jc w:val="both"/>
      </w:pPr>
      <w:r>
        <w:t>З</w:t>
      </w:r>
      <w:r w:rsidR="00865A37" w:rsidRPr="003B229F">
        <w:t>а 201</w:t>
      </w:r>
      <w:r w:rsidR="003B229F" w:rsidRPr="003B229F">
        <w:t>7</w:t>
      </w:r>
      <w:r w:rsidR="0063064F" w:rsidRPr="003B229F">
        <w:t xml:space="preserve"> год </w:t>
      </w:r>
      <w:r>
        <w:t xml:space="preserve">объем </w:t>
      </w:r>
      <w:r w:rsidR="0063064F" w:rsidRPr="003B229F">
        <w:t>пр</w:t>
      </w:r>
      <w:r>
        <w:t>ивлечения</w:t>
      </w:r>
      <w:r w:rsidR="00865A37" w:rsidRPr="003B229F">
        <w:t xml:space="preserve"> кредитов</w:t>
      </w:r>
      <w:r>
        <w:t xml:space="preserve"> от кредитных организаций</w:t>
      </w:r>
      <w:r w:rsidR="00865A37" w:rsidRPr="003B229F">
        <w:t xml:space="preserve"> </w:t>
      </w:r>
      <w:r>
        <w:t xml:space="preserve">составил        </w:t>
      </w:r>
      <w:r w:rsidR="00865A37" w:rsidRPr="003B229F">
        <w:t xml:space="preserve"> </w:t>
      </w:r>
      <w:r w:rsidR="003B229F" w:rsidRPr="003B229F">
        <w:t>2</w:t>
      </w:r>
      <w:r w:rsidR="007779A1">
        <w:t>8 100</w:t>
      </w:r>
      <w:r w:rsidR="003B229F" w:rsidRPr="003B229F">
        <w:t xml:space="preserve"> </w:t>
      </w:r>
      <w:r w:rsidR="007779A1">
        <w:t>000</w:t>
      </w:r>
      <w:r w:rsidR="0063064F" w:rsidRPr="003B229F">
        <w:t xml:space="preserve"> </w:t>
      </w:r>
      <w:r w:rsidR="00865A37" w:rsidRPr="003B229F">
        <w:t>тыс. руб.,</w:t>
      </w:r>
      <w:r>
        <w:t xml:space="preserve"> объем погашения</w:t>
      </w:r>
      <w:r w:rsidR="00865A37" w:rsidRPr="003B229F">
        <w:t xml:space="preserve"> </w:t>
      </w:r>
      <w:r>
        <w:t>-</w:t>
      </w:r>
      <w:r w:rsidR="00865A37" w:rsidRPr="003B229F">
        <w:t xml:space="preserve"> </w:t>
      </w:r>
      <w:r w:rsidR="007779A1">
        <w:t>2</w:t>
      </w:r>
      <w:r w:rsidR="003B229F" w:rsidRPr="003B229F">
        <w:t xml:space="preserve">9 </w:t>
      </w:r>
      <w:r w:rsidR="007779A1">
        <w:t>5</w:t>
      </w:r>
      <w:r w:rsidR="003B229F" w:rsidRPr="003B229F">
        <w:t>0</w:t>
      </w:r>
      <w:r w:rsidR="0063064F" w:rsidRPr="003B229F">
        <w:t xml:space="preserve">0 000 </w:t>
      </w:r>
      <w:proofErr w:type="spellStart"/>
      <w:r w:rsidR="0063064F" w:rsidRPr="003B229F">
        <w:t>тыс</w:t>
      </w:r>
      <w:proofErr w:type="gramStart"/>
      <w:r w:rsidR="0063064F" w:rsidRPr="003B229F">
        <w:t>.р</w:t>
      </w:r>
      <w:proofErr w:type="gramEnd"/>
      <w:r w:rsidR="0063064F" w:rsidRPr="003B229F">
        <w:t>уб</w:t>
      </w:r>
      <w:proofErr w:type="spellEnd"/>
      <w:r w:rsidR="0063064F" w:rsidRPr="003B229F">
        <w:t>.</w:t>
      </w:r>
    </w:p>
    <w:p w:rsidR="00614EAB" w:rsidRPr="00733566" w:rsidRDefault="00614EAB" w:rsidP="00614EAB">
      <w:pPr>
        <w:ind w:firstLine="709"/>
        <w:jc w:val="both"/>
      </w:pPr>
      <w:r w:rsidRPr="00733566">
        <w:t xml:space="preserve">Согласно данным </w:t>
      </w:r>
      <w:r w:rsidR="00EB0FC7" w:rsidRPr="00733566">
        <w:t xml:space="preserve">бухгалтерского учета </w:t>
      </w:r>
      <w:r w:rsidR="00EB0FC7">
        <w:t xml:space="preserve">и </w:t>
      </w:r>
      <w:r w:rsidRPr="00733566">
        <w:t>долговой книги</w:t>
      </w:r>
      <w:r w:rsidR="00831EB5" w:rsidRPr="00733566">
        <w:t xml:space="preserve"> </w:t>
      </w:r>
      <w:r w:rsidRPr="003B0B9B">
        <w:rPr>
          <w:b/>
        </w:rPr>
        <w:t>задолженност</w:t>
      </w:r>
      <w:r w:rsidR="00967028" w:rsidRPr="003B0B9B">
        <w:rPr>
          <w:b/>
        </w:rPr>
        <w:t>ь</w:t>
      </w:r>
      <w:r w:rsidRPr="003B0B9B">
        <w:rPr>
          <w:b/>
        </w:rPr>
        <w:t xml:space="preserve"> </w:t>
      </w:r>
      <w:r w:rsidR="003B0B9B" w:rsidRPr="003B0B9B">
        <w:rPr>
          <w:b/>
        </w:rPr>
        <w:t>по бюджетным кредитам</w:t>
      </w:r>
      <w:r w:rsidRPr="00733566">
        <w:t xml:space="preserve"> по состоянию на 01.01.201</w:t>
      </w:r>
      <w:r w:rsidR="00733566" w:rsidRPr="00733566">
        <w:t>8</w:t>
      </w:r>
      <w:r w:rsidRPr="00733566">
        <w:t xml:space="preserve"> составил</w:t>
      </w:r>
      <w:r w:rsidR="00967028">
        <w:t>а</w:t>
      </w:r>
      <w:r w:rsidRPr="00733566">
        <w:t xml:space="preserve"> </w:t>
      </w:r>
      <w:r w:rsidR="00733566" w:rsidRPr="00733566">
        <w:t>8</w:t>
      </w:r>
      <w:r w:rsidR="00733566" w:rsidRPr="00733566">
        <w:rPr>
          <w:lang w:val="en-US"/>
        </w:rPr>
        <w:t> </w:t>
      </w:r>
      <w:r w:rsidR="00733566" w:rsidRPr="00733566">
        <w:t>892</w:t>
      </w:r>
      <w:r w:rsidR="00733566" w:rsidRPr="00733566">
        <w:rPr>
          <w:lang w:val="en-US"/>
        </w:rPr>
        <w:t> </w:t>
      </w:r>
      <w:r w:rsidR="00733566" w:rsidRPr="00733566">
        <w:t>497,4</w:t>
      </w:r>
      <w:r w:rsidRPr="00733566">
        <w:t xml:space="preserve"> тыс. руб. </w:t>
      </w:r>
      <w:r w:rsidR="00967028">
        <w:t xml:space="preserve">и </w:t>
      </w:r>
      <w:r w:rsidRPr="00733566">
        <w:t xml:space="preserve">увеличилась на </w:t>
      </w:r>
      <w:r w:rsidR="00733566" w:rsidRPr="00733566">
        <w:t>2 063 21</w:t>
      </w:r>
      <w:r w:rsidRPr="00733566">
        <w:t xml:space="preserve">7 </w:t>
      </w:r>
      <w:proofErr w:type="spellStart"/>
      <w:r w:rsidRPr="00733566">
        <w:t>тыс</w:t>
      </w:r>
      <w:proofErr w:type="gramStart"/>
      <w:r w:rsidRPr="00733566">
        <w:t>.р</w:t>
      </w:r>
      <w:proofErr w:type="gramEnd"/>
      <w:r w:rsidRPr="00733566">
        <w:t>уб</w:t>
      </w:r>
      <w:proofErr w:type="spellEnd"/>
      <w:r w:rsidRPr="00733566">
        <w:t xml:space="preserve">. по сравнению с </w:t>
      </w:r>
      <w:r w:rsidR="00967028">
        <w:t>2016 годом</w:t>
      </w:r>
      <w:r w:rsidRPr="00733566">
        <w:t xml:space="preserve"> или </w:t>
      </w:r>
      <w:r w:rsidR="00FE74A6" w:rsidRPr="00733566">
        <w:t xml:space="preserve">на </w:t>
      </w:r>
      <w:r w:rsidR="00733566" w:rsidRPr="00733566">
        <w:t>30,2</w:t>
      </w:r>
      <w:r w:rsidRPr="00733566">
        <w:t>%.</w:t>
      </w:r>
    </w:p>
    <w:p w:rsidR="0024265F" w:rsidRPr="00D77769" w:rsidRDefault="0024265F" w:rsidP="0024265F">
      <w:pPr>
        <w:ind w:firstLine="709"/>
        <w:jc w:val="both"/>
        <w:rPr>
          <w:highlight w:val="lightGray"/>
        </w:rPr>
      </w:pPr>
      <w:r w:rsidRPr="003A6FD8">
        <w:t>Общий объем привлечения бюджетных кредитов в 201</w:t>
      </w:r>
      <w:r w:rsidR="003A6FD8" w:rsidRPr="003A6FD8">
        <w:t>7</w:t>
      </w:r>
      <w:r w:rsidRPr="003A6FD8">
        <w:t xml:space="preserve"> году составил 2</w:t>
      </w:r>
      <w:r w:rsidR="007779A1">
        <w:t>1</w:t>
      </w:r>
      <w:r w:rsidRPr="003A6FD8">
        <w:t> </w:t>
      </w:r>
      <w:r w:rsidR="003A6FD8" w:rsidRPr="003A6FD8">
        <w:t>863</w:t>
      </w:r>
      <w:r w:rsidRPr="003A6FD8">
        <w:t xml:space="preserve"> 2</w:t>
      </w:r>
      <w:r w:rsidR="003A6FD8" w:rsidRPr="003A6FD8">
        <w:t>17</w:t>
      </w:r>
      <w:r w:rsidRPr="00D77769">
        <w:rPr>
          <w:highlight w:val="lightGray"/>
        </w:rPr>
        <w:t xml:space="preserve"> </w:t>
      </w:r>
      <w:proofErr w:type="spellStart"/>
      <w:r w:rsidRPr="003A6FD8">
        <w:t>тыс</w:t>
      </w:r>
      <w:proofErr w:type="gramStart"/>
      <w:r w:rsidRPr="003A6FD8">
        <w:t>.р</w:t>
      </w:r>
      <w:proofErr w:type="gramEnd"/>
      <w:r w:rsidRPr="003A6FD8">
        <w:t>уб</w:t>
      </w:r>
      <w:proofErr w:type="spellEnd"/>
      <w:r w:rsidRPr="003A6FD8">
        <w:t>., общий объем погашения составил 1</w:t>
      </w:r>
      <w:r w:rsidR="003A6FD8" w:rsidRPr="003A6FD8">
        <w:t>9</w:t>
      </w:r>
      <w:r w:rsidRPr="003A6FD8">
        <w:t> </w:t>
      </w:r>
      <w:r w:rsidR="003A6FD8" w:rsidRPr="003A6FD8">
        <w:t>80</w:t>
      </w:r>
      <w:r w:rsidRPr="003A6FD8">
        <w:t xml:space="preserve">0 </w:t>
      </w:r>
      <w:r w:rsidR="003A6FD8" w:rsidRPr="003A6FD8">
        <w:t>000</w:t>
      </w:r>
      <w:r w:rsidRPr="003A6FD8">
        <w:t xml:space="preserve"> </w:t>
      </w:r>
      <w:proofErr w:type="spellStart"/>
      <w:r w:rsidRPr="003A6FD8">
        <w:t>тыс.руб</w:t>
      </w:r>
      <w:proofErr w:type="spellEnd"/>
      <w:r w:rsidRPr="003A6FD8">
        <w:t>.</w:t>
      </w:r>
    </w:p>
    <w:p w:rsidR="00F426B9" w:rsidRPr="007D3AD3" w:rsidRDefault="00614EAB" w:rsidP="00967028">
      <w:pPr>
        <w:ind w:firstLine="709"/>
        <w:jc w:val="both"/>
      </w:pPr>
      <w:r w:rsidRPr="007D3AD3">
        <w:t>В 201</w:t>
      </w:r>
      <w:r w:rsidR="007D3AD3" w:rsidRPr="007D3AD3">
        <w:t>7</w:t>
      </w:r>
      <w:r w:rsidRPr="007D3AD3">
        <w:t xml:space="preserve"> году Министерством финансов РФ были предоставлены 2 бюджетных кредита</w:t>
      </w:r>
      <w:r w:rsidR="00F426B9" w:rsidRPr="007D3AD3">
        <w:t xml:space="preserve"> для частичного покрытия дефицита бюджета Томской области в целях погашения долговых обязательств субъекта РФ</w:t>
      </w:r>
      <w:r w:rsidRPr="007D3AD3">
        <w:t xml:space="preserve"> на общую сумму </w:t>
      </w:r>
      <w:r w:rsidR="007D3AD3" w:rsidRPr="007D3AD3">
        <w:t>2 063 217</w:t>
      </w:r>
      <w:r w:rsidRPr="007D3AD3">
        <w:t xml:space="preserve"> </w:t>
      </w:r>
      <w:proofErr w:type="spellStart"/>
      <w:r w:rsidRPr="007D3AD3">
        <w:t>тыс</w:t>
      </w:r>
      <w:proofErr w:type="gramStart"/>
      <w:r w:rsidRPr="007D3AD3">
        <w:t>.р</w:t>
      </w:r>
      <w:proofErr w:type="gramEnd"/>
      <w:r w:rsidRPr="007D3AD3">
        <w:t>уб</w:t>
      </w:r>
      <w:proofErr w:type="spellEnd"/>
      <w:r w:rsidRPr="007D3AD3">
        <w:t>.</w:t>
      </w:r>
    </w:p>
    <w:p w:rsidR="00967028" w:rsidRDefault="00F426B9" w:rsidP="00967028">
      <w:pPr>
        <w:tabs>
          <w:tab w:val="left" w:pos="10080"/>
        </w:tabs>
        <w:ind w:firstLine="709"/>
        <w:jc w:val="both"/>
      </w:pPr>
      <w:r w:rsidRPr="007D3AD3">
        <w:t xml:space="preserve">Департамент финансов Томской области </w:t>
      </w:r>
      <w:r w:rsidR="00C55124">
        <w:t>в</w:t>
      </w:r>
      <w:r w:rsidR="00C55124" w:rsidRPr="007D3AD3">
        <w:t xml:space="preserve"> 2017 году </w:t>
      </w:r>
      <w:r w:rsidR="007D3AD3" w:rsidRPr="007D3AD3">
        <w:t>5</w:t>
      </w:r>
      <w:r w:rsidR="00C55124">
        <w:t xml:space="preserve"> раз</w:t>
      </w:r>
      <w:r w:rsidRPr="007D3AD3">
        <w:t xml:space="preserve"> привлекал бюджетные кредиты на пополнение остатков средств на общую сумму 1</w:t>
      </w:r>
      <w:r w:rsidR="007D3AD3" w:rsidRPr="007D3AD3">
        <w:t>9</w:t>
      </w:r>
      <w:r w:rsidRPr="007D3AD3">
        <w:t> </w:t>
      </w:r>
      <w:r w:rsidR="007D3AD3" w:rsidRPr="007D3AD3">
        <w:t>800</w:t>
      </w:r>
      <w:r w:rsidRPr="007D3AD3">
        <w:t xml:space="preserve"> 000 </w:t>
      </w:r>
      <w:proofErr w:type="spellStart"/>
      <w:r w:rsidRPr="007D3AD3">
        <w:t>тыс</w:t>
      </w:r>
      <w:proofErr w:type="gramStart"/>
      <w:r w:rsidRPr="007D3AD3">
        <w:t>.р</w:t>
      </w:r>
      <w:proofErr w:type="gramEnd"/>
      <w:r w:rsidRPr="007D3AD3">
        <w:t>уб</w:t>
      </w:r>
      <w:proofErr w:type="spellEnd"/>
      <w:r w:rsidRPr="007D3AD3">
        <w:t>.</w:t>
      </w:r>
      <w:r w:rsidR="00C55124">
        <w:t>, о</w:t>
      </w:r>
      <w:r w:rsidRPr="007D3AD3">
        <w:t>бъем п</w:t>
      </w:r>
      <w:r w:rsidR="00FE74A6" w:rsidRPr="007D3AD3">
        <w:t>огашения бюджетных кредитов так</w:t>
      </w:r>
      <w:r w:rsidRPr="007D3AD3">
        <w:t xml:space="preserve">же составил </w:t>
      </w:r>
      <w:r w:rsidR="007D3AD3" w:rsidRPr="007D3AD3">
        <w:t>19 800 000</w:t>
      </w:r>
      <w:r w:rsidR="00967028">
        <w:t xml:space="preserve"> </w:t>
      </w:r>
      <w:proofErr w:type="spellStart"/>
      <w:r w:rsidR="00967028">
        <w:t>тыс.руб</w:t>
      </w:r>
      <w:proofErr w:type="spellEnd"/>
      <w:r w:rsidR="00967028">
        <w:t>.</w:t>
      </w:r>
      <w:r w:rsidRPr="007D3AD3">
        <w:t xml:space="preserve"> </w:t>
      </w:r>
      <w:r w:rsidR="00967028">
        <w:t>М</w:t>
      </w:r>
      <w:r w:rsidR="00013F9C">
        <w:t>еханизм привлечения краткосрочных кредитов на пополнение</w:t>
      </w:r>
      <w:r w:rsidR="00255196">
        <w:t xml:space="preserve"> остатков</w:t>
      </w:r>
      <w:r w:rsidR="00013F9C">
        <w:t xml:space="preserve"> </w:t>
      </w:r>
      <w:r w:rsidR="00013F9C" w:rsidRPr="007D3AD3">
        <w:t>средств</w:t>
      </w:r>
      <w:r w:rsidR="00013F9C">
        <w:t xml:space="preserve"> </w:t>
      </w:r>
      <w:r w:rsidR="00967028">
        <w:t xml:space="preserve">в 2017 году </w:t>
      </w:r>
      <w:r w:rsidR="00013F9C">
        <w:t>использован в полном объеме.</w:t>
      </w:r>
      <w:r w:rsidRPr="007D3AD3">
        <w:t xml:space="preserve">  </w:t>
      </w:r>
    </w:p>
    <w:p w:rsidR="005D620A" w:rsidRPr="00B96BD5" w:rsidRDefault="005D620A" w:rsidP="00967028">
      <w:pPr>
        <w:tabs>
          <w:tab w:val="left" w:pos="10080"/>
        </w:tabs>
        <w:ind w:firstLine="709"/>
        <w:jc w:val="both"/>
      </w:pPr>
      <w:proofErr w:type="gramStart"/>
      <w:r w:rsidRPr="0038754B">
        <w:t xml:space="preserve">Объем долга, выраженный в виде </w:t>
      </w:r>
      <w:r w:rsidRPr="00967028">
        <w:rPr>
          <w:b/>
        </w:rPr>
        <w:t>государственных гарантий Томской области</w:t>
      </w:r>
      <w:r w:rsidRPr="0038754B">
        <w:t xml:space="preserve"> на 01.01.201</w:t>
      </w:r>
      <w:r w:rsidR="0038754B" w:rsidRPr="0038754B">
        <w:t>8</w:t>
      </w:r>
      <w:r w:rsidRPr="0038754B">
        <w:t xml:space="preserve"> отсутствовал</w:t>
      </w:r>
      <w:proofErr w:type="gramEnd"/>
      <w:r w:rsidRPr="0038754B">
        <w:t xml:space="preserve">, что соответствует данным </w:t>
      </w:r>
      <w:r w:rsidR="00CC2617" w:rsidRPr="0038754B">
        <w:t xml:space="preserve">бухгалтерского учета </w:t>
      </w:r>
      <w:r w:rsidR="00CC2617">
        <w:t xml:space="preserve">и </w:t>
      </w:r>
      <w:r w:rsidRPr="0038754B">
        <w:t>долговой книги.</w:t>
      </w:r>
      <w:r w:rsidR="00967028">
        <w:t xml:space="preserve"> </w:t>
      </w:r>
      <w:r w:rsidRPr="0038754B">
        <w:t>Предоставление государственных гарантий Томской области в 201</w:t>
      </w:r>
      <w:r w:rsidR="0038754B" w:rsidRPr="0038754B">
        <w:t>7</w:t>
      </w:r>
      <w:r w:rsidR="00967028">
        <w:t xml:space="preserve"> году не осуществлялось, </w:t>
      </w:r>
      <w:r w:rsidRPr="00B96BD5">
        <w:t>возврат сре</w:t>
      </w:r>
      <w:proofErr w:type="gramStart"/>
      <w:r w:rsidRPr="00B96BD5">
        <w:t>дств в сч</w:t>
      </w:r>
      <w:proofErr w:type="gramEnd"/>
      <w:r w:rsidRPr="00B96BD5">
        <w:t xml:space="preserve">ет исполненных государственных гарантий Томской областью </w:t>
      </w:r>
      <w:r w:rsidR="00B96BD5" w:rsidRPr="00B96BD5">
        <w:t>не производился.</w:t>
      </w:r>
    </w:p>
    <w:p w:rsidR="005D620A" w:rsidRPr="003D1E2B" w:rsidRDefault="005D620A" w:rsidP="009526BF">
      <w:pPr>
        <w:pStyle w:val="ConsTitle"/>
        <w:widowControl/>
        <w:tabs>
          <w:tab w:val="left" w:pos="9214"/>
        </w:tabs>
        <w:ind w:right="14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1E2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Исполнение по </w:t>
      </w:r>
      <w:r w:rsidRPr="00967028">
        <w:rPr>
          <w:rFonts w:ascii="Times New Roman" w:hAnsi="Times New Roman" w:cs="Times New Roman"/>
          <w:sz w:val="24"/>
          <w:szCs w:val="24"/>
        </w:rPr>
        <w:t>расходам на обслуживание государственного долга</w:t>
      </w:r>
      <w:r w:rsidRPr="003D1E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7028">
        <w:rPr>
          <w:rFonts w:ascii="Times New Roman" w:hAnsi="Times New Roman" w:cs="Times New Roman"/>
          <w:b w:val="0"/>
          <w:sz w:val="24"/>
          <w:szCs w:val="24"/>
        </w:rPr>
        <w:t xml:space="preserve">Томской области </w:t>
      </w:r>
      <w:r w:rsidRPr="003D1E2B">
        <w:rPr>
          <w:rFonts w:ascii="Times New Roman" w:hAnsi="Times New Roman" w:cs="Times New Roman"/>
          <w:b w:val="0"/>
          <w:sz w:val="24"/>
          <w:szCs w:val="24"/>
        </w:rPr>
        <w:t>согласно данным бухгалтерского учета и отчетности Департамента финансов</w:t>
      </w:r>
      <w:r w:rsidR="0050799E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</w:t>
      </w:r>
      <w:r w:rsidRPr="003D1E2B">
        <w:rPr>
          <w:rFonts w:ascii="Times New Roman" w:hAnsi="Times New Roman" w:cs="Times New Roman"/>
          <w:b w:val="0"/>
          <w:sz w:val="24"/>
          <w:szCs w:val="24"/>
        </w:rPr>
        <w:t xml:space="preserve"> составило 1</w:t>
      </w:r>
      <w:r w:rsidR="003D1E2B" w:rsidRPr="003D1E2B">
        <w:rPr>
          <w:rFonts w:ascii="Times New Roman" w:hAnsi="Times New Roman" w:cs="Times New Roman"/>
          <w:b w:val="0"/>
          <w:sz w:val="24"/>
          <w:szCs w:val="24"/>
          <w:lang w:val="en-US"/>
        </w:rPr>
        <w:t> </w:t>
      </w:r>
      <w:r w:rsidR="003D1E2B" w:rsidRPr="003D1E2B">
        <w:rPr>
          <w:rFonts w:ascii="Times New Roman" w:hAnsi="Times New Roman" w:cs="Times New Roman"/>
          <w:b w:val="0"/>
          <w:sz w:val="24"/>
          <w:szCs w:val="24"/>
        </w:rPr>
        <w:t>230</w:t>
      </w:r>
      <w:r w:rsidR="003D1E2B" w:rsidRPr="003D1E2B">
        <w:rPr>
          <w:rFonts w:ascii="Times New Roman" w:hAnsi="Times New Roman" w:cs="Times New Roman"/>
          <w:b w:val="0"/>
          <w:sz w:val="24"/>
          <w:szCs w:val="24"/>
          <w:lang w:val="en-US"/>
        </w:rPr>
        <w:t> </w:t>
      </w:r>
      <w:r w:rsidR="003D1E2B" w:rsidRPr="003D1E2B">
        <w:rPr>
          <w:rFonts w:ascii="Times New Roman" w:hAnsi="Times New Roman" w:cs="Times New Roman"/>
          <w:b w:val="0"/>
          <w:sz w:val="24"/>
          <w:szCs w:val="24"/>
        </w:rPr>
        <w:t>938,3</w:t>
      </w:r>
      <w:r w:rsidRPr="003D1E2B">
        <w:rPr>
          <w:rFonts w:ascii="Times New Roman" w:hAnsi="Times New Roman" w:cs="Times New Roman"/>
          <w:b w:val="0"/>
          <w:sz w:val="24"/>
          <w:szCs w:val="24"/>
        </w:rPr>
        <w:t xml:space="preserve"> тыс. руб. По сравнению с 201</w:t>
      </w:r>
      <w:r w:rsidR="003D1E2B" w:rsidRPr="003D1E2B">
        <w:rPr>
          <w:rFonts w:ascii="Times New Roman" w:hAnsi="Times New Roman" w:cs="Times New Roman"/>
          <w:b w:val="0"/>
          <w:sz w:val="24"/>
          <w:szCs w:val="24"/>
        </w:rPr>
        <w:t>6</w:t>
      </w:r>
      <w:r w:rsidRPr="003D1E2B">
        <w:rPr>
          <w:rFonts w:ascii="Times New Roman" w:hAnsi="Times New Roman" w:cs="Times New Roman"/>
          <w:b w:val="0"/>
          <w:sz w:val="24"/>
          <w:szCs w:val="24"/>
        </w:rPr>
        <w:t xml:space="preserve"> годом расходы на обслуживание государственного долга </w:t>
      </w:r>
      <w:r w:rsidR="003D1E2B" w:rsidRPr="003D1E2B">
        <w:rPr>
          <w:rFonts w:ascii="Times New Roman" w:hAnsi="Times New Roman" w:cs="Times New Roman"/>
          <w:b w:val="0"/>
          <w:sz w:val="24"/>
          <w:szCs w:val="24"/>
        </w:rPr>
        <w:t>снизились</w:t>
      </w:r>
      <w:r w:rsidRPr="003D1E2B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3D1E2B" w:rsidRPr="003D1E2B">
        <w:rPr>
          <w:rFonts w:ascii="Times New Roman" w:hAnsi="Times New Roman" w:cs="Times New Roman"/>
          <w:b w:val="0"/>
          <w:sz w:val="24"/>
          <w:szCs w:val="24"/>
        </w:rPr>
        <w:t>311 994,7</w:t>
      </w:r>
      <w:r w:rsidRPr="003D1E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D1E2B">
        <w:rPr>
          <w:rFonts w:ascii="Times New Roman" w:hAnsi="Times New Roman" w:cs="Times New Roman"/>
          <w:b w:val="0"/>
          <w:sz w:val="24"/>
          <w:szCs w:val="24"/>
        </w:rPr>
        <w:t>тыс</w:t>
      </w:r>
      <w:proofErr w:type="gramStart"/>
      <w:r w:rsidRPr="003D1E2B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3D1E2B">
        <w:rPr>
          <w:rFonts w:ascii="Times New Roman" w:hAnsi="Times New Roman" w:cs="Times New Roman"/>
          <w:b w:val="0"/>
          <w:sz w:val="24"/>
          <w:szCs w:val="24"/>
        </w:rPr>
        <w:t>уб</w:t>
      </w:r>
      <w:proofErr w:type="spellEnd"/>
      <w:r w:rsidRPr="003D1E2B">
        <w:rPr>
          <w:rFonts w:ascii="Times New Roman" w:hAnsi="Times New Roman" w:cs="Times New Roman"/>
          <w:b w:val="0"/>
          <w:sz w:val="24"/>
          <w:szCs w:val="24"/>
        </w:rPr>
        <w:t xml:space="preserve">., или на </w:t>
      </w:r>
      <w:r w:rsidR="003D1E2B" w:rsidRPr="003D1E2B">
        <w:rPr>
          <w:rFonts w:ascii="Times New Roman" w:hAnsi="Times New Roman" w:cs="Times New Roman"/>
          <w:b w:val="0"/>
          <w:sz w:val="24"/>
          <w:szCs w:val="24"/>
        </w:rPr>
        <w:t>20,2</w:t>
      </w:r>
      <w:r w:rsidRPr="003D1E2B">
        <w:rPr>
          <w:rFonts w:ascii="Times New Roman" w:hAnsi="Times New Roman" w:cs="Times New Roman"/>
          <w:b w:val="0"/>
          <w:sz w:val="24"/>
          <w:szCs w:val="24"/>
        </w:rPr>
        <w:t xml:space="preserve">%. </w:t>
      </w:r>
    </w:p>
    <w:p w:rsidR="00D90324" w:rsidRPr="003D1E2B" w:rsidRDefault="00D90324" w:rsidP="009526BF">
      <w:pPr>
        <w:tabs>
          <w:tab w:val="left" w:pos="9214"/>
          <w:tab w:val="left" w:pos="10080"/>
        </w:tabs>
        <w:ind w:right="179" w:firstLine="709"/>
        <w:jc w:val="both"/>
      </w:pPr>
      <w:r w:rsidRPr="003D1E2B">
        <w:t xml:space="preserve">Анализ исполнения расходов на обслуживание государственного долга Томской области за период </w:t>
      </w:r>
      <w:r w:rsidR="0088340F" w:rsidRPr="003D1E2B">
        <w:t>2015-201</w:t>
      </w:r>
      <w:r w:rsidR="003D1E2B" w:rsidRPr="003D1E2B">
        <w:t>7</w:t>
      </w:r>
      <w:r w:rsidR="0088340F" w:rsidRPr="003D1E2B">
        <w:t xml:space="preserve"> годы</w:t>
      </w:r>
      <w:r w:rsidRPr="003D1E2B">
        <w:t xml:space="preserve"> </w:t>
      </w:r>
      <w:r w:rsidR="0088340F" w:rsidRPr="003D1E2B">
        <w:t>представлен в таблице</w:t>
      </w:r>
      <w:r w:rsidRPr="003D1E2B">
        <w:t>.</w:t>
      </w:r>
    </w:p>
    <w:p w:rsidR="003829AC" w:rsidRPr="003D1E2B" w:rsidRDefault="00582B1C" w:rsidP="009526BF">
      <w:pPr>
        <w:tabs>
          <w:tab w:val="left" w:pos="9214"/>
          <w:tab w:val="left" w:pos="10080"/>
        </w:tabs>
        <w:ind w:right="179" w:firstLine="540"/>
        <w:jc w:val="right"/>
      </w:pPr>
      <w:r w:rsidRPr="003D1E2B">
        <w:t xml:space="preserve"> </w:t>
      </w:r>
      <w:r w:rsidR="003829AC" w:rsidRPr="003D1E2B">
        <w:t>(</w:t>
      </w:r>
      <w:proofErr w:type="spellStart"/>
      <w:r w:rsidR="003829AC" w:rsidRPr="003D1E2B">
        <w:t>тыс</w:t>
      </w:r>
      <w:proofErr w:type="gramStart"/>
      <w:r w:rsidR="003829AC" w:rsidRPr="003D1E2B">
        <w:t>.р</w:t>
      </w:r>
      <w:proofErr w:type="gramEnd"/>
      <w:r w:rsidR="003829AC" w:rsidRPr="003D1E2B">
        <w:t>уб</w:t>
      </w:r>
      <w:proofErr w:type="spellEnd"/>
      <w:r w:rsidR="003829AC" w:rsidRPr="003D1E2B">
        <w:t>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701"/>
        <w:gridCol w:w="1701"/>
        <w:gridCol w:w="1843"/>
        <w:gridCol w:w="1559"/>
      </w:tblGrid>
      <w:tr w:rsidR="00BB62FE" w:rsidRPr="003D1E2B" w:rsidTr="009526BF">
        <w:tc>
          <w:tcPr>
            <w:tcW w:w="959" w:type="dxa"/>
            <w:vAlign w:val="center"/>
          </w:tcPr>
          <w:p w:rsidR="00BB62FE" w:rsidRPr="003D1E2B" w:rsidRDefault="00BB62FE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59" w:type="dxa"/>
            <w:vAlign w:val="center"/>
          </w:tcPr>
          <w:p w:rsidR="00BB62FE" w:rsidRPr="003D1E2B" w:rsidRDefault="00BB62FE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color w:val="000000"/>
                <w:sz w:val="20"/>
                <w:szCs w:val="20"/>
              </w:rPr>
              <w:t>Закон об областном бюджете</w:t>
            </w:r>
          </w:p>
        </w:tc>
        <w:tc>
          <w:tcPr>
            <w:tcW w:w="1701" w:type="dxa"/>
            <w:vAlign w:val="center"/>
          </w:tcPr>
          <w:p w:rsidR="00BB62FE" w:rsidRPr="003D1E2B" w:rsidRDefault="008F160A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sz w:val="20"/>
                <w:szCs w:val="20"/>
              </w:rPr>
              <w:t>Утверждено</w:t>
            </w:r>
          </w:p>
        </w:tc>
        <w:tc>
          <w:tcPr>
            <w:tcW w:w="1701" w:type="dxa"/>
            <w:vAlign w:val="center"/>
          </w:tcPr>
          <w:p w:rsidR="00BB62FE" w:rsidRPr="003D1E2B" w:rsidRDefault="008F160A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sz w:val="20"/>
                <w:szCs w:val="20"/>
              </w:rPr>
              <w:t>Исполнено</w:t>
            </w:r>
          </w:p>
        </w:tc>
        <w:tc>
          <w:tcPr>
            <w:tcW w:w="1843" w:type="dxa"/>
            <w:vAlign w:val="center"/>
          </w:tcPr>
          <w:p w:rsidR="00BB62FE" w:rsidRPr="003D1E2B" w:rsidRDefault="00131786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1559" w:type="dxa"/>
            <w:vAlign w:val="center"/>
          </w:tcPr>
          <w:p w:rsidR="00BB62FE" w:rsidRPr="003D1E2B" w:rsidRDefault="00131786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BB62FE" w:rsidRPr="003D1E2B" w:rsidTr="009526BF">
        <w:tc>
          <w:tcPr>
            <w:tcW w:w="959" w:type="dxa"/>
            <w:vAlign w:val="center"/>
          </w:tcPr>
          <w:p w:rsidR="00BB62FE" w:rsidRPr="003D1E2B" w:rsidRDefault="00131786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sz w:val="20"/>
                <w:szCs w:val="20"/>
              </w:rPr>
              <w:t>2015</w:t>
            </w:r>
          </w:p>
        </w:tc>
        <w:tc>
          <w:tcPr>
            <w:tcW w:w="1559" w:type="dxa"/>
            <w:vAlign w:val="center"/>
          </w:tcPr>
          <w:p w:rsidR="00BB62FE" w:rsidRPr="003D1E2B" w:rsidRDefault="00131786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color w:val="000000"/>
                <w:sz w:val="20"/>
                <w:szCs w:val="20"/>
              </w:rPr>
              <w:t>от 30.12.2014 № 193-ОЗ</w:t>
            </w:r>
          </w:p>
        </w:tc>
        <w:tc>
          <w:tcPr>
            <w:tcW w:w="1701" w:type="dxa"/>
            <w:vAlign w:val="center"/>
          </w:tcPr>
          <w:p w:rsidR="00BB62FE" w:rsidRPr="003D1E2B" w:rsidRDefault="003829AC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color w:val="000000"/>
                <w:sz w:val="20"/>
                <w:szCs w:val="20"/>
              </w:rPr>
              <w:t>1 935 379,8</w:t>
            </w:r>
          </w:p>
        </w:tc>
        <w:tc>
          <w:tcPr>
            <w:tcW w:w="1701" w:type="dxa"/>
            <w:vAlign w:val="center"/>
          </w:tcPr>
          <w:p w:rsidR="00BB62FE" w:rsidRPr="003D1E2B" w:rsidRDefault="003829AC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color w:val="000000"/>
                <w:sz w:val="20"/>
                <w:szCs w:val="20"/>
              </w:rPr>
              <w:t>1 478 661,0</w:t>
            </w:r>
          </w:p>
        </w:tc>
        <w:tc>
          <w:tcPr>
            <w:tcW w:w="1843" w:type="dxa"/>
            <w:vAlign w:val="center"/>
          </w:tcPr>
          <w:p w:rsidR="00BB62FE" w:rsidRPr="003D1E2B" w:rsidRDefault="003829AC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sz w:val="20"/>
                <w:szCs w:val="20"/>
              </w:rPr>
              <w:t>76,4</w:t>
            </w:r>
          </w:p>
        </w:tc>
        <w:tc>
          <w:tcPr>
            <w:tcW w:w="1559" w:type="dxa"/>
            <w:vAlign w:val="center"/>
          </w:tcPr>
          <w:p w:rsidR="00BB62FE" w:rsidRPr="003D1E2B" w:rsidRDefault="009121BF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sz w:val="20"/>
                <w:szCs w:val="20"/>
              </w:rPr>
              <w:t xml:space="preserve">- </w:t>
            </w:r>
            <w:r w:rsidR="003829AC" w:rsidRPr="003D1E2B">
              <w:rPr>
                <w:sz w:val="20"/>
                <w:szCs w:val="20"/>
              </w:rPr>
              <w:t>456 718,8</w:t>
            </w:r>
          </w:p>
        </w:tc>
      </w:tr>
      <w:tr w:rsidR="00BB62FE" w:rsidRPr="003D1E2B" w:rsidTr="009526BF">
        <w:tc>
          <w:tcPr>
            <w:tcW w:w="959" w:type="dxa"/>
            <w:vAlign w:val="center"/>
          </w:tcPr>
          <w:p w:rsidR="00BB62FE" w:rsidRPr="003D1E2B" w:rsidRDefault="003829AC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vAlign w:val="center"/>
          </w:tcPr>
          <w:p w:rsidR="00BB62FE" w:rsidRPr="003D1E2B" w:rsidRDefault="003829AC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sz w:val="20"/>
                <w:szCs w:val="20"/>
              </w:rPr>
              <w:t>от 28.12.2015 № 198-ОЗ</w:t>
            </w:r>
          </w:p>
        </w:tc>
        <w:tc>
          <w:tcPr>
            <w:tcW w:w="1701" w:type="dxa"/>
            <w:vAlign w:val="center"/>
          </w:tcPr>
          <w:p w:rsidR="00BB62FE" w:rsidRPr="003D1E2B" w:rsidRDefault="003829AC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sz w:val="20"/>
                <w:szCs w:val="20"/>
              </w:rPr>
              <w:t>2 436 389,7</w:t>
            </w:r>
          </w:p>
        </w:tc>
        <w:tc>
          <w:tcPr>
            <w:tcW w:w="1701" w:type="dxa"/>
            <w:vAlign w:val="center"/>
          </w:tcPr>
          <w:p w:rsidR="00BB62FE" w:rsidRPr="003D1E2B" w:rsidRDefault="003829AC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sz w:val="20"/>
                <w:szCs w:val="20"/>
              </w:rPr>
              <w:t>1 542 933</w:t>
            </w:r>
          </w:p>
        </w:tc>
        <w:tc>
          <w:tcPr>
            <w:tcW w:w="1843" w:type="dxa"/>
            <w:vAlign w:val="center"/>
          </w:tcPr>
          <w:p w:rsidR="00BB62FE" w:rsidRPr="003D1E2B" w:rsidRDefault="003829AC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sz w:val="20"/>
                <w:szCs w:val="20"/>
              </w:rPr>
              <w:t>63,3</w:t>
            </w:r>
          </w:p>
        </w:tc>
        <w:tc>
          <w:tcPr>
            <w:tcW w:w="1559" w:type="dxa"/>
            <w:vAlign w:val="center"/>
          </w:tcPr>
          <w:p w:rsidR="00BB62FE" w:rsidRPr="003D1E2B" w:rsidRDefault="009121BF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sz w:val="20"/>
                <w:szCs w:val="20"/>
              </w:rPr>
              <w:t xml:space="preserve">- </w:t>
            </w:r>
            <w:r w:rsidR="003829AC" w:rsidRPr="003D1E2B">
              <w:rPr>
                <w:sz w:val="20"/>
                <w:szCs w:val="20"/>
              </w:rPr>
              <w:t>893 456,7</w:t>
            </w:r>
          </w:p>
        </w:tc>
      </w:tr>
      <w:tr w:rsidR="003D1E2B" w:rsidRPr="00D77769" w:rsidTr="009526BF">
        <w:tc>
          <w:tcPr>
            <w:tcW w:w="959" w:type="dxa"/>
            <w:vAlign w:val="center"/>
          </w:tcPr>
          <w:p w:rsidR="003D1E2B" w:rsidRPr="003D1E2B" w:rsidRDefault="003D1E2B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  <w:lang w:val="en-US"/>
              </w:rPr>
            </w:pPr>
            <w:r w:rsidRPr="003D1E2B">
              <w:rPr>
                <w:sz w:val="20"/>
                <w:szCs w:val="20"/>
                <w:lang w:val="en-US"/>
              </w:rPr>
              <w:t>2017</w:t>
            </w:r>
          </w:p>
        </w:tc>
        <w:tc>
          <w:tcPr>
            <w:tcW w:w="1559" w:type="dxa"/>
            <w:vAlign w:val="center"/>
          </w:tcPr>
          <w:p w:rsidR="003D1E2B" w:rsidRPr="003D1E2B" w:rsidRDefault="003D1E2B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iCs/>
                <w:sz w:val="20"/>
                <w:szCs w:val="20"/>
              </w:rPr>
              <w:t>от 29.12.2016 № 174-ОЗ</w:t>
            </w:r>
          </w:p>
        </w:tc>
        <w:tc>
          <w:tcPr>
            <w:tcW w:w="1701" w:type="dxa"/>
            <w:vAlign w:val="center"/>
          </w:tcPr>
          <w:p w:rsidR="003D1E2B" w:rsidRPr="003D1E2B" w:rsidRDefault="003D1E2B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sz w:val="20"/>
                <w:szCs w:val="20"/>
              </w:rPr>
              <w:t>2 048 234,2</w:t>
            </w:r>
          </w:p>
        </w:tc>
        <w:tc>
          <w:tcPr>
            <w:tcW w:w="1701" w:type="dxa"/>
            <w:vAlign w:val="center"/>
          </w:tcPr>
          <w:p w:rsidR="003D1E2B" w:rsidRPr="003D1E2B" w:rsidRDefault="003D1E2B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sz w:val="20"/>
                <w:szCs w:val="20"/>
              </w:rPr>
              <w:t>1 230 938,3</w:t>
            </w:r>
          </w:p>
        </w:tc>
        <w:tc>
          <w:tcPr>
            <w:tcW w:w="1843" w:type="dxa"/>
            <w:vAlign w:val="center"/>
          </w:tcPr>
          <w:p w:rsidR="003D1E2B" w:rsidRPr="003D1E2B" w:rsidRDefault="003D1E2B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sz w:val="20"/>
                <w:szCs w:val="20"/>
              </w:rPr>
              <w:t>60,1</w:t>
            </w:r>
          </w:p>
        </w:tc>
        <w:tc>
          <w:tcPr>
            <w:tcW w:w="1559" w:type="dxa"/>
            <w:vAlign w:val="center"/>
          </w:tcPr>
          <w:p w:rsidR="003D1E2B" w:rsidRPr="003D1E2B" w:rsidRDefault="003D1E2B" w:rsidP="009526BF">
            <w:pPr>
              <w:tabs>
                <w:tab w:val="left" w:pos="9214"/>
                <w:tab w:val="left" w:pos="10080"/>
              </w:tabs>
              <w:ind w:right="179"/>
              <w:jc w:val="center"/>
              <w:rPr>
                <w:sz w:val="20"/>
                <w:szCs w:val="20"/>
              </w:rPr>
            </w:pPr>
            <w:r w:rsidRPr="003D1E2B">
              <w:rPr>
                <w:sz w:val="20"/>
                <w:szCs w:val="20"/>
              </w:rPr>
              <w:t>- 817 295,9</w:t>
            </w:r>
          </w:p>
        </w:tc>
      </w:tr>
    </w:tbl>
    <w:p w:rsidR="00D90324" w:rsidRPr="00D77769" w:rsidRDefault="00D90324" w:rsidP="009526BF">
      <w:pPr>
        <w:tabs>
          <w:tab w:val="left" w:pos="9214"/>
          <w:tab w:val="left" w:pos="10080"/>
        </w:tabs>
        <w:ind w:right="179" w:firstLine="540"/>
        <w:jc w:val="right"/>
        <w:rPr>
          <w:highlight w:val="lightGray"/>
        </w:rPr>
      </w:pPr>
    </w:p>
    <w:p w:rsidR="005D620A" w:rsidRPr="00DA532D" w:rsidRDefault="005D620A" w:rsidP="009526BF">
      <w:pPr>
        <w:pStyle w:val="ConsTitle"/>
        <w:widowControl/>
        <w:tabs>
          <w:tab w:val="left" w:pos="9214"/>
          <w:tab w:val="left" w:pos="1008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532D">
        <w:rPr>
          <w:rFonts w:ascii="Times New Roman" w:hAnsi="Times New Roman" w:cs="Times New Roman"/>
          <w:b w:val="0"/>
          <w:color w:val="000000"/>
          <w:sz w:val="24"/>
          <w:szCs w:val="24"/>
        </w:rPr>
        <w:t>Расходы на обслуживание государственного долга составили 2,</w:t>
      </w:r>
      <w:r w:rsidR="00DA532D" w:rsidRPr="00DA532D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Pr="00DA532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% от объема расходов областного бюджета и не </w:t>
      </w:r>
      <w:r w:rsidRPr="00DA532D">
        <w:rPr>
          <w:rFonts w:ascii="Times New Roman" w:hAnsi="Times New Roman" w:cs="Times New Roman"/>
          <w:b w:val="0"/>
          <w:sz w:val="24"/>
          <w:szCs w:val="24"/>
        </w:rPr>
        <w:t xml:space="preserve">превысили предельного размера, установленного Бюджетным кодексом РФ (15%). </w:t>
      </w:r>
    </w:p>
    <w:p w:rsidR="00967028" w:rsidRDefault="00967028" w:rsidP="009526BF">
      <w:pPr>
        <w:tabs>
          <w:tab w:val="left" w:pos="9214"/>
        </w:tabs>
        <w:ind w:firstLine="709"/>
        <w:jc w:val="both"/>
        <w:rPr>
          <w:color w:val="000000"/>
        </w:rPr>
      </w:pPr>
      <w:r w:rsidRPr="00DA532D">
        <w:rPr>
          <w:color w:val="000000"/>
        </w:rPr>
        <w:t>Расходы на обслуживание государственного долга</w:t>
      </w:r>
      <w:r>
        <w:rPr>
          <w:color w:val="000000"/>
        </w:rPr>
        <w:t xml:space="preserve"> в разрезе видов долговых обязательств</w:t>
      </w:r>
      <w:r w:rsidR="009526BF">
        <w:rPr>
          <w:color w:val="000000"/>
        </w:rPr>
        <w:t>, представлены следующим образом, а именно</w:t>
      </w:r>
      <w:r>
        <w:rPr>
          <w:color w:val="000000"/>
        </w:rPr>
        <w:t>:</w:t>
      </w:r>
    </w:p>
    <w:p w:rsidR="00967028" w:rsidRDefault="00967028" w:rsidP="009526BF">
      <w:pPr>
        <w:tabs>
          <w:tab w:val="left" w:pos="9214"/>
        </w:tabs>
        <w:ind w:firstLine="709"/>
        <w:jc w:val="both"/>
      </w:pPr>
      <w:r>
        <w:rPr>
          <w:color w:val="000000"/>
        </w:rPr>
        <w:t xml:space="preserve">1) </w:t>
      </w:r>
      <w:r w:rsidR="009526BF">
        <w:rPr>
          <w:color w:val="000000"/>
        </w:rPr>
        <w:t xml:space="preserve">расходы </w:t>
      </w:r>
      <w:r>
        <w:t xml:space="preserve">на выплату купонного дохода составили </w:t>
      </w:r>
      <w:r w:rsidRPr="00FA5E59">
        <w:t xml:space="preserve">719 751,2 </w:t>
      </w:r>
      <w:proofErr w:type="spellStart"/>
      <w:r w:rsidRPr="00FA5E59">
        <w:t>тыс</w:t>
      </w:r>
      <w:proofErr w:type="gramStart"/>
      <w:r w:rsidRPr="00FA5E59">
        <w:t>.р</w:t>
      </w:r>
      <w:proofErr w:type="gramEnd"/>
      <w:r w:rsidRPr="00FA5E59">
        <w:t>уб</w:t>
      </w:r>
      <w:proofErr w:type="spellEnd"/>
      <w:r w:rsidRPr="00FA5E59">
        <w:t>.</w:t>
      </w:r>
      <w:r>
        <w:t>;</w:t>
      </w:r>
    </w:p>
    <w:p w:rsidR="00967028" w:rsidRDefault="00967028" w:rsidP="009526BF">
      <w:pPr>
        <w:tabs>
          <w:tab w:val="left" w:pos="9214"/>
        </w:tabs>
        <w:ind w:firstLine="709"/>
        <w:jc w:val="both"/>
      </w:pPr>
      <w:r>
        <w:t xml:space="preserve">2) </w:t>
      </w:r>
      <w:r w:rsidR="009526BF">
        <w:t xml:space="preserve">расходы </w:t>
      </w:r>
      <w:r>
        <w:t xml:space="preserve">на выплату процентов </w:t>
      </w:r>
      <w:r w:rsidRPr="00474C64">
        <w:t xml:space="preserve">по кредитам кредитных организаций </w:t>
      </w:r>
      <w:r w:rsidR="009526BF">
        <w:t xml:space="preserve">составили       </w:t>
      </w:r>
      <w:r w:rsidRPr="00474C64">
        <w:t xml:space="preserve"> </w:t>
      </w:r>
      <w:r w:rsidR="009526BF">
        <w:t xml:space="preserve">        </w:t>
      </w:r>
      <w:r w:rsidRPr="00474C64">
        <w:t xml:space="preserve">500 235 </w:t>
      </w:r>
      <w:proofErr w:type="spellStart"/>
      <w:r w:rsidRPr="00474C64">
        <w:t>тыс</w:t>
      </w:r>
      <w:proofErr w:type="gramStart"/>
      <w:r w:rsidRPr="00474C64">
        <w:t>.р</w:t>
      </w:r>
      <w:proofErr w:type="gramEnd"/>
      <w:r w:rsidRPr="00474C64">
        <w:t>уб</w:t>
      </w:r>
      <w:proofErr w:type="spellEnd"/>
      <w:r w:rsidRPr="00474C64">
        <w:t>.</w:t>
      </w:r>
      <w:r w:rsidR="009526BF">
        <w:t>;</w:t>
      </w:r>
    </w:p>
    <w:p w:rsidR="009526BF" w:rsidRPr="00474C64" w:rsidRDefault="009526BF" w:rsidP="009526BF">
      <w:pPr>
        <w:tabs>
          <w:tab w:val="left" w:pos="9214"/>
        </w:tabs>
        <w:ind w:firstLine="709"/>
        <w:jc w:val="both"/>
      </w:pPr>
      <w:r>
        <w:t xml:space="preserve">3) расходы на выплату процентов </w:t>
      </w:r>
      <w:r w:rsidRPr="00474C64">
        <w:t xml:space="preserve">по </w:t>
      </w:r>
      <w:r>
        <w:t xml:space="preserve">бюджетным </w:t>
      </w:r>
      <w:r w:rsidRPr="00474C64">
        <w:t>кредитам</w:t>
      </w:r>
      <w:r>
        <w:t xml:space="preserve">, предоставленным из </w:t>
      </w:r>
      <w:r w:rsidRPr="00474C64">
        <w:t>федерального бюджет</w:t>
      </w:r>
      <w:r>
        <w:t xml:space="preserve"> составили </w:t>
      </w:r>
      <w:r w:rsidRPr="00474C64">
        <w:t xml:space="preserve">10 952,1 </w:t>
      </w:r>
      <w:proofErr w:type="spellStart"/>
      <w:r w:rsidRPr="00474C64">
        <w:t>тыс</w:t>
      </w:r>
      <w:proofErr w:type="gramStart"/>
      <w:r w:rsidRPr="00474C64">
        <w:t>.р</w:t>
      </w:r>
      <w:proofErr w:type="gramEnd"/>
      <w:r w:rsidRPr="00474C64">
        <w:t>уб</w:t>
      </w:r>
      <w:proofErr w:type="spellEnd"/>
      <w:r w:rsidRPr="00474C64">
        <w:t>.</w:t>
      </w:r>
    </w:p>
    <w:p w:rsidR="00082BC1" w:rsidRPr="006517A3" w:rsidRDefault="00082BC1" w:rsidP="003671A8">
      <w:pPr>
        <w:tabs>
          <w:tab w:val="left" w:pos="10080"/>
        </w:tabs>
        <w:ind w:firstLine="709"/>
        <w:jc w:val="both"/>
        <w:rPr>
          <w:color w:val="000000"/>
          <w:highlight w:val="lightGray"/>
        </w:rPr>
      </w:pPr>
      <w:r w:rsidRPr="009526BF">
        <w:rPr>
          <w:b/>
          <w:color w:val="000000"/>
        </w:rPr>
        <w:t>Прочие расходы, связанные с обслуживанием государственного внутреннего долга Томской области</w:t>
      </w:r>
      <w:r w:rsidRPr="00FC637D">
        <w:rPr>
          <w:color w:val="000000"/>
        </w:rPr>
        <w:t xml:space="preserve">, </w:t>
      </w:r>
      <w:r w:rsidR="008F5422">
        <w:rPr>
          <w:color w:val="000000"/>
        </w:rPr>
        <w:t xml:space="preserve">в 2017 году </w:t>
      </w:r>
      <w:r w:rsidRPr="00FC637D">
        <w:rPr>
          <w:color w:val="000000"/>
        </w:rPr>
        <w:t xml:space="preserve">составили </w:t>
      </w:r>
      <w:r w:rsidR="00FC637D" w:rsidRPr="00FC637D">
        <w:rPr>
          <w:color w:val="000000"/>
        </w:rPr>
        <w:t>24</w:t>
      </w:r>
      <w:r w:rsidR="00EB7583" w:rsidRPr="00FC637D">
        <w:rPr>
          <w:color w:val="000000"/>
        </w:rPr>
        <w:t> </w:t>
      </w:r>
      <w:r w:rsidR="00FC637D" w:rsidRPr="00FC637D">
        <w:rPr>
          <w:color w:val="000000"/>
        </w:rPr>
        <w:t>391</w:t>
      </w:r>
      <w:r w:rsidR="00EB7583" w:rsidRPr="00FC637D">
        <w:rPr>
          <w:color w:val="000000"/>
        </w:rPr>
        <w:t>,</w:t>
      </w:r>
      <w:r w:rsidR="00FC637D" w:rsidRPr="00FC637D">
        <w:rPr>
          <w:color w:val="000000"/>
        </w:rPr>
        <w:t>5</w:t>
      </w:r>
      <w:r w:rsidRPr="00FC637D">
        <w:rPr>
          <w:color w:val="000000"/>
        </w:rPr>
        <w:t xml:space="preserve"> </w:t>
      </w:r>
      <w:proofErr w:type="spellStart"/>
      <w:r w:rsidRPr="00FC637D">
        <w:rPr>
          <w:color w:val="000000"/>
        </w:rPr>
        <w:t>тыс</w:t>
      </w:r>
      <w:proofErr w:type="gramStart"/>
      <w:r w:rsidRPr="00FC637D">
        <w:rPr>
          <w:color w:val="000000"/>
        </w:rPr>
        <w:t>.р</w:t>
      </w:r>
      <w:proofErr w:type="gramEnd"/>
      <w:r w:rsidRPr="00FC637D">
        <w:rPr>
          <w:color w:val="000000"/>
        </w:rPr>
        <w:t>уб</w:t>
      </w:r>
      <w:proofErr w:type="spellEnd"/>
      <w:r w:rsidRPr="00FC637D">
        <w:rPr>
          <w:color w:val="000000"/>
        </w:rPr>
        <w:t xml:space="preserve">. и </w:t>
      </w:r>
      <w:r w:rsidR="00EF6E89" w:rsidRPr="00FC637D">
        <w:rPr>
          <w:color w:val="000000"/>
        </w:rPr>
        <w:t>увеличились</w:t>
      </w:r>
      <w:r w:rsidRPr="00FC637D">
        <w:rPr>
          <w:color w:val="000000"/>
        </w:rPr>
        <w:t xml:space="preserve"> по сравнению с 201</w:t>
      </w:r>
      <w:r w:rsidR="00FC637D" w:rsidRPr="00FC637D">
        <w:rPr>
          <w:color w:val="000000"/>
        </w:rPr>
        <w:t>6</w:t>
      </w:r>
      <w:r w:rsidRPr="00FC637D">
        <w:rPr>
          <w:color w:val="000000"/>
        </w:rPr>
        <w:t xml:space="preserve"> годом </w:t>
      </w:r>
      <w:r w:rsidRPr="003671A8">
        <w:rPr>
          <w:color w:val="000000"/>
        </w:rPr>
        <w:t xml:space="preserve">на </w:t>
      </w:r>
      <w:r w:rsidR="003671A8" w:rsidRPr="003671A8">
        <w:rPr>
          <w:color w:val="000000"/>
        </w:rPr>
        <w:t>6 67</w:t>
      </w:r>
      <w:r w:rsidR="00EB7583" w:rsidRPr="003671A8">
        <w:rPr>
          <w:color w:val="000000"/>
        </w:rPr>
        <w:t>2</w:t>
      </w:r>
      <w:r w:rsidR="003671A8" w:rsidRPr="003671A8">
        <w:rPr>
          <w:color w:val="000000"/>
        </w:rPr>
        <w:t>,1</w:t>
      </w:r>
      <w:r w:rsidRPr="003671A8">
        <w:rPr>
          <w:color w:val="000000"/>
        </w:rPr>
        <w:t xml:space="preserve"> </w:t>
      </w:r>
      <w:proofErr w:type="spellStart"/>
      <w:r w:rsidRPr="003671A8">
        <w:rPr>
          <w:color w:val="000000"/>
        </w:rPr>
        <w:t>тыс.руб</w:t>
      </w:r>
      <w:proofErr w:type="spellEnd"/>
      <w:r w:rsidRPr="003671A8">
        <w:rPr>
          <w:color w:val="000000"/>
        </w:rPr>
        <w:t xml:space="preserve">., или </w:t>
      </w:r>
      <w:r w:rsidR="003671A8" w:rsidRPr="003671A8">
        <w:rPr>
          <w:color w:val="000000"/>
        </w:rPr>
        <w:t>на</w:t>
      </w:r>
      <w:r w:rsidR="00EB7583" w:rsidRPr="003671A8">
        <w:rPr>
          <w:color w:val="000000"/>
        </w:rPr>
        <w:t xml:space="preserve"> </w:t>
      </w:r>
      <w:r w:rsidR="003671A8" w:rsidRPr="003671A8">
        <w:rPr>
          <w:color w:val="000000"/>
        </w:rPr>
        <w:t>37,7%</w:t>
      </w:r>
      <w:r w:rsidRPr="003671A8">
        <w:rPr>
          <w:color w:val="000000"/>
        </w:rPr>
        <w:t xml:space="preserve">. </w:t>
      </w:r>
    </w:p>
    <w:p w:rsidR="00082BC1" w:rsidRPr="00E643EE" w:rsidRDefault="00082BC1" w:rsidP="009F3B90">
      <w:pPr>
        <w:tabs>
          <w:tab w:val="left" w:pos="10080"/>
        </w:tabs>
        <w:ind w:firstLine="709"/>
        <w:jc w:val="both"/>
        <w:rPr>
          <w:color w:val="000000"/>
        </w:rPr>
      </w:pPr>
      <w:r w:rsidRPr="00E643EE">
        <w:rPr>
          <w:color w:val="000000"/>
        </w:rPr>
        <w:t>Структура прочих расходов, связанных с обслуживанием государственного внутреннего долга Томской области в 201</w:t>
      </w:r>
      <w:r w:rsidR="003671A8" w:rsidRPr="00E643EE">
        <w:rPr>
          <w:color w:val="000000"/>
        </w:rPr>
        <w:t>7</w:t>
      </w:r>
      <w:r w:rsidRPr="00E643EE">
        <w:rPr>
          <w:color w:val="000000"/>
        </w:rPr>
        <w:t xml:space="preserve"> году, выглядела следующим образом: </w:t>
      </w:r>
    </w:p>
    <w:p w:rsidR="00082BC1" w:rsidRPr="009F3B90" w:rsidRDefault="00082BC1" w:rsidP="009F3B90">
      <w:pPr>
        <w:tabs>
          <w:tab w:val="left" w:pos="10080"/>
        </w:tabs>
        <w:ind w:firstLine="709"/>
        <w:jc w:val="both"/>
        <w:rPr>
          <w:color w:val="000000"/>
        </w:rPr>
      </w:pPr>
      <w:r w:rsidRPr="009F3B90">
        <w:rPr>
          <w:color w:val="000000"/>
        </w:rPr>
        <w:t xml:space="preserve">- расходы, связанные с облигациями областных внутренних займов в сумме </w:t>
      </w:r>
      <w:r w:rsidR="00EB7583" w:rsidRPr="009F3B90">
        <w:rPr>
          <w:color w:val="000000"/>
        </w:rPr>
        <w:t>1</w:t>
      </w:r>
      <w:r w:rsidR="00E643EE" w:rsidRPr="009F3B90">
        <w:rPr>
          <w:color w:val="000000"/>
        </w:rPr>
        <w:t>6</w:t>
      </w:r>
      <w:r w:rsidR="00EB7583" w:rsidRPr="009F3B90">
        <w:rPr>
          <w:color w:val="000000"/>
        </w:rPr>
        <w:t> </w:t>
      </w:r>
      <w:r w:rsidR="00E643EE" w:rsidRPr="009F3B90">
        <w:rPr>
          <w:color w:val="000000"/>
        </w:rPr>
        <w:t>839</w:t>
      </w:r>
      <w:r w:rsidRPr="009F3B90">
        <w:rPr>
          <w:color w:val="000000"/>
        </w:rPr>
        <w:t xml:space="preserve"> </w:t>
      </w:r>
      <w:proofErr w:type="spellStart"/>
      <w:r w:rsidRPr="009F3B90">
        <w:rPr>
          <w:color w:val="000000"/>
        </w:rPr>
        <w:t>тыс</w:t>
      </w:r>
      <w:proofErr w:type="gramStart"/>
      <w:r w:rsidRPr="009F3B90">
        <w:rPr>
          <w:color w:val="000000"/>
        </w:rPr>
        <w:t>.р</w:t>
      </w:r>
      <w:proofErr w:type="gramEnd"/>
      <w:r w:rsidRPr="009F3B90">
        <w:rPr>
          <w:color w:val="000000"/>
        </w:rPr>
        <w:t>уб</w:t>
      </w:r>
      <w:proofErr w:type="spellEnd"/>
      <w:r w:rsidRPr="009F3B90">
        <w:rPr>
          <w:color w:val="000000"/>
        </w:rPr>
        <w:t>.;</w:t>
      </w:r>
    </w:p>
    <w:p w:rsidR="00EB7583" w:rsidRPr="009F3B90" w:rsidRDefault="00EB7583" w:rsidP="009F3B90">
      <w:pPr>
        <w:tabs>
          <w:tab w:val="left" w:pos="10080"/>
        </w:tabs>
        <w:ind w:firstLine="709"/>
        <w:jc w:val="both"/>
        <w:rPr>
          <w:color w:val="000000"/>
        </w:rPr>
      </w:pPr>
      <w:r w:rsidRPr="009F3B90">
        <w:rPr>
          <w:color w:val="000000"/>
        </w:rPr>
        <w:t>- расходы, связанные с облигациями биржевых внутрен</w:t>
      </w:r>
      <w:r w:rsidR="00E643EE" w:rsidRPr="009F3B90">
        <w:rPr>
          <w:color w:val="000000"/>
        </w:rPr>
        <w:t>них займов в сумме             5 863,2</w:t>
      </w:r>
      <w:r w:rsidRPr="009F3B90">
        <w:rPr>
          <w:color w:val="000000"/>
        </w:rPr>
        <w:t xml:space="preserve"> </w:t>
      </w:r>
      <w:proofErr w:type="spellStart"/>
      <w:r w:rsidRPr="009F3B90">
        <w:rPr>
          <w:color w:val="000000"/>
        </w:rPr>
        <w:t>тыс</w:t>
      </w:r>
      <w:proofErr w:type="gramStart"/>
      <w:r w:rsidRPr="009F3B90">
        <w:rPr>
          <w:color w:val="000000"/>
        </w:rPr>
        <w:t>.р</w:t>
      </w:r>
      <w:proofErr w:type="gramEnd"/>
      <w:r w:rsidRPr="009F3B90">
        <w:rPr>
          <w:color w:val="000000"/>
        </w:rPr>
        <w:t>уб</w:t>
      </w:r>
      <w:proofErr w:type="spellEnd"/>
      <w:r w:rsidRPr="009F3B90">
        <w:rPr>
          <w:color w:val="000000"/>
        </w:rPr>
        <w:t>.;</w:t>
      </w:r>
    </w:p>
    <w:p w:rsidR="00EB7583" w:rsidRPr="009F3B90" w:rsidRDefault="00EB7583" w:rsidP="009F3B90">
      <w:pPr>
        <w:tabs>
          <w:tab w:val="left" w:pos="10080"/>
        </w:tabs>
        <w:ind w:firstLine="709"/>
        <w:jc w:val="both"/>
        <w:rPr>
          <w:color w:val="000000"/>
        </w:rPr>
      </w:pPr>
      <w:r w:rsidRPr="009F3B90">
        <w:rPr>
          <w:color w:val="000000"/>
        </w:rPr>
        <w:t xml:space="preserve">- расходы, связанные с кредитным рейтингом Томской области в сумме </w:t>
      </w:r>
      <w:r w:rsidR="00E643EE" w:rsidRPr="009F3B90">
        <w:rPr>
          <w:color w:val="000000"/>
        </w:rPr>
        <w:t>1 408</w:t>
      </w:r>
      <w:r w:rsidRPr="009F3B90">
        <w:rPr>
          <w:color w:val="000000"/>
        </w:rPr>
        <w:t xml:space="preserve"> </w:t>
      </w:r>
      <w:proofErr w:type="spellStart"/>
      <w:r w:rsidRPr="009F3B90">
        <w:rPr>
          <w:color w:val="000000"/>
        </w:rPr>
        <w:t>тыс</w:t>
      </w:r>
      <w:proofErr w:type="gramStart"/>
      <w:r w:rsidRPr="009F3B90">
        <w:rPr>
          <w:color w:val="000000"/>
        </w:rPr>
        <w:t>.р</w:t>
      </w:r>
      <w:proofErr w:type="gramEnd"/>
      <w:r w:rsidRPr="009F3B90">
        <w:rPr>
          <w:color w:val="000000"/>
        </w:rPr>
        <w:t>уб</w:t>
      </w:r>
      <w:proofErr w:type="spellEnd"/>
      <w:r w:rsidRPr="009F3B90">
        <w:rPr>
          <w:color w:val="000000"/>
        </w:rPr>
        <w:t>.</w:t>
      </w:r>
      <w:r w:rsidR="0027210E" w:rsidRPr="009F3B90">
        <w:rPr>
          <w:color w:val="000000"/>
        </w:rPr>
        <w:t>;</w:t>
      </w:r>
    </w:p>
    <w:p w:rsidR="00082BC1" w:rsidRPr="009F3B90" w:rsidRDefault="00082BC1" w:rsidP="009F3B90">
      <w:pPr>
        <w:tabs>
          <w:tab w:val="left" w:pos="10080"/>
        </w:tabs>
        <w:ind w:firstLine="709"/>
        <w:jc w:val="both"/>
        <w:rPr>
          <w:color w:val="000000"/>
        </w:rPr>
      </w:pPr>
      <w:r w:rsidRPr="009F3B90">
        <w:rPr>
          <w:color w:val="000000"/>
        </w:rPr>
        <w:t xml:space="preserve">- иные расходы в сумме </w:t>
      </w:r>
      <w:r w:rsidR="009F3B90" w:rsidRPr="009F3B90">
        <w:rPr>
          <w:color w:val="000000"/>
        </w:rPr>
        <w:t>281</w:t>
      </w:r>
      <w:r w:rsidR="00EB7583" w:rsidRPr="009F3B90">
        <w:rPr>
          <w:color w:val="000000"/>
        </w:rPr>
        <w:t>,</w:t>
      </w:r>
      <w:r w:rsidR="009F3B90" w:rsidRPr="009F3B90">
        <w:rPr>
          <w:color w:val="000000"/>
        </w:rPr>
        <w:t>3</w:t>
      </w:r>
      <w:r w:rsidRPr="009F3B90">
        <w:rPr>
          <w:color w:val="000000"/>
        </w:rPr>
        <w:t xml:space="preserve"> </w:t>
      </w:r>
      <w:proofErr w:type="spellStart"/>
      <w:r w:rsidRPr="009F3B90">
        <w:rPr>
          <w:color w:val="000000"/>
        </w:rPr>
        <w:t>тыс</w:t>
      </w:r>
      <w:proofErr w:type="gramStart"/>
      <w:r w:rsidRPr="009F3B90">
        <w:rPr>
          <w:color w:val="000000"/>
        </w:rPr>
        <w:t>.р</w:t>
      </w:r>
      <w:proofErr w:type="gramEnd"/>
      <w:r w:rsidRPr="009F3B90">
        <w:rPr>
          <w:color w:val="000000"/>
        </w:rPr>
        <w:t>уб</w:t>
      </w:r>
      <w:proofErr w:type="spellEnd"/>
      <w:r w:rsidRPr="009F3B90">
        <w:rPr>
          <w:color w:val="000000"/>
        </w:rPr>
        <w:t>.</w:t>
      </w:r>
    </w:p>
    <w:sectPr w:rsidR="00082BC1" w:rsidRPr="009F3B90" w:rsidSect="00582B1C">
      <w:headerReference w:type="default" r:id="rId11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32" w:rsidRDefault="005A4732" w:rsidP="00425428">
      <w:r>
        <w:separator/>
      </w:r>
    </w:p>
  </w:endnote>
  <w:endnote w:type="continuationSeparator" w:id="0">
    <w:p w:rsidR="005A4732" w:rsidRDefault="005A4732" w:rsidP="0042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32" w:rsidRDefault="005A4732" w:rsidP="00425428">
      <w:r>
        <w:separator/>
      </w:r>
    </w:p>
  </w:footnote>
  <w:footnote w:type="continuationSeparator" w:id="0">
    <w:p w:rsidR="005A4732" w:rsidRDefault="005A4732" w:rsidP="0042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33375"/>
      <w:docPartObj>
        <w:docPartGallery w:val="Page Numbers (Top of Page)"/>
        <w:docPartUnique/>
      </w:docPartObj>
    </w:sdtPr>
    <w:sdtEndPr/>
    <w:sdtContent>
      <w:p w:rsidR="00BA5E33" w:rsidRDefault="006D2764">
        <w:pPr>
          <w:pStyle w:val="ac"/>
          <w:jc w:val="center"/>
        </w:pPr>
        <w:r>
          <w:fldChar w:fldCharType="begin"/>
        </w:r>
        <w:r w:rsidR="00950C56">
          <w:instrText>PAGE   \* MERGEFORMAT</w:instrText>
        </w:r>
        <w:r>
          <w:fldChar w:fldCharType="separate"/>
        </w:r>
        <w:r w:rsidR="00B025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5E33" w:rsidRDefault="00BA5E3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2BB"/>
    <w:multiLevelType w:val="hybridMultilevel"/>
    <w:tmpl w:val="9D92536E"/>
    <w:lvl w:ilvl="0" w:tplc="D1345D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6F2811"/>
    <w:multiLevelType w:val="hybridMultilevel"/>
    <w:tmpl w:val="91501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BD24CB"/>
    <w:multiLevelType w:val="hybridMultilevel"/>
    <w:tmpl w:val="5CC20A0E"/>
    <w:lvl w:ilvl="0" w:tplc="F470F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70031B"/>
    <w:multiLevelType w:val="hybridMultilevel"/>
    <w:tmpl w:val="656A2EC0"/>
    <w:lvl w:ilvl="0" w:tplc="3FBA46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383B1B"/>
    <w:multiLevelType w:val="hybridMultilevel"/>
    <w:tmpl w:val="7BBC6A5A"/>
    <w:lvl w:ilvl="0" w:tplc="4DB0A7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6D5E4A"/>
    <w:multiLevelType w:val="hybridMultilevel"/>
    <w:tmpl w:val="5F5471EA"/>
    <w:lvl w:ilvl="0" w:tplc="CC0EAB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156AFC"/>
    <w:multiLevelType w:val="hybridMultilevel"/>
    <w:tmpl w:val="048E084C"/>
    <w:lvl w:ilvl="0" w:tplc="10F4D5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EF6DA5"/>
    <w:multiLevelType w:val="hybridMultilevel"/>
    <w:tmpl w:val="47F61244"/>
    <w:lvl w:ilvl="0" w:tplc="4C9AFF56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DA74EE"/>
    <w:multiLevelType w:val="hybridMultilevel"/>
    <w:tmpl w:val="53265392"/>
    <w:lvl w:ilvl="0" w:tplc="06F2E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AB1C59"/>
    <w:multiLevelType w:val="hybridMultilevel"/>
    <w:tmpl w:val="5882D8FE"/>
    <w:lvl w:ilvl="0" w:tplc="A49A3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F80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7CF7710"/>
    <w:multiLevelType w:val="hybridMultilevel"/>
    <w:tmpl w:val="D4B0EF22"/>
    <w:lvl w:ilvl="0" w:tplc="ECAE5C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D6664E"/>
    <w:multiLevelType w:val="hybridMultilevel"/>
    <w:tmpl w:val="EB6AEC20"/>
    <w:lvl w:ilvl="0" w:tplc="29867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03371F"/>
    <w:multiLevelType w:val="hybridMultilevel"/>
    <w:tmpl w:val="CD5E348A"/>
    <w:lvl w:ilvl="0" w:tplc="1A64EE2E">
      <w:start w:val="1"/>
      <w:numFmt w:val="decimal"/>
      <w:lvlText w:val="%1."/>
      <w:lvlJc w:val="left"/>
      <w:pPr>
        <w:ind w:left="148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4">
    <w:nsid w:val="6F820BD9"/>
    <w:multiLevelType w:val="hybridMultilevel"/>
    <w:tmpl w:val="E20EF91E"/>
    <w:lvl w:ilvl="0" w:tplc="9FDC26BC">
      <w:start w:val="1"/>
      <w:numFmt w:val="decimal"/>
      <w:lvlText w:val="%1."/>
      <w:lvlJc w:val="left"/>
      <w:pPr>
        <w:ind w:left="1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5">
    <w:nsid w:val="757E38A0"/>
    <w:multiLevelType w:val="hybridMultilevel"/>
    <w:tmpl w:val="F9967756"/>
    <w:lvl w:ilvl="0" w:tplc="BB88F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177A51"/>
    <w:multiLevelType w:val="hybridMultilevel"/>
    <w:tmpl w:val="97DC5F7C"/>
    <w:lvl w:ilvl="0" w:tplc="E61C400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7">
    <w:nsid w:val="77A8417E"/>
    <w:multiLevelType w:val="hybridMultilevel"/>
    <w:tmpl w:val="0B2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3"/>
  </w:num>
  <w:num w:numId="6">
    <w:abstractNumId w:val="8"/>
  </w:num>
  <w:num w:numId="7">
    <w:abstractNumId w:val="17"/>
  </w:num>
  <w:num w:numId="8">
    <w:abstractNumId w:val="11"/>
  </w:num>
  <w:num w:numId="9">
    <w:abstractNumId w:val="0"/>
  </w:num>
  <w:num w:numId="10">
    <w:abstractNumId w:val="10"/>
  </w:num>
  <w:num w:numId="11">
    <w:abstractNumId w:val="16"/>
  </w:num>
  <w:num w:numId="12">
    <w:abstractNumId w:val="12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5A"/>
    <w:rsid w:val="000114E3"/>
    <w:rsid w:val="00012841"/>
    <w:rsid w:val="00013F9C"/>
    <w:rsid w:val="00030CF3"/>
    <w:rsid w:val="00035E2E"/>
    <w:rsid w:val="000567B7"/>
    <w:rsid w:val="000572EA"/>
    <w:rsid w:val="00067C13"/>
    <w:rsid w:val="000713CC"/>
    <w:rsid w:val="00071EEE"/>
    <w:rsid w:val="00072FF6"/>
    <w:rsid w:val="00073608"/>
    <w:rsid w:val="00074516"/>
    <w:rsid w:val="00082BC1"/>
    <w:rsid w:val="0008664D"/>
    <w:rsid w:val="00093B5C"/>
    <w:rsid w:val="000A02B6"/>
    <w:rsid w:val="000A16E3"/>
    <w:rsid w:val="000A4013"/>
    <w:rsid w:val="000A6BCE"/>
    <w:rsid w:val="000C137D"/>
    <w:rsid w:val="000C322B"/>
    <w:rsid w:val="000C3B9F"/>
    <w:rsid w:val="000C4D17"/>
    <w:rsid w:val="000C5845"/>
    <w:rsid w:val="000D62FF"/>
    <w:rsid w:val="000E16F5"/>
    <w:rsid w:val="000E1B28"/>
    <w:rsid w:val="000E7065"/>
    <w:rsid w:val="001010BA"/>
    <w:rsid w:val="00107DCE"/>
    <w:rsid w:val="001133EB"/>
    <w:rsid w:val="00113A6A"/>
    <w:rsid w:val="00120E41"/>
    <w:rsid w:val="00127EB4"/>
    <w:rsid w:val="00131786"/>
    <w:rsid w:val="00134371"/>
    <w:rsid w:val="001410DF"/>
    <w:rsid w:val="001453A6"/>
    <w:rsid w:val="00150261"/>
    <w:rsid w:val="001610BE"/>
    <w:rsid w:val="00161F7A"/>
    <w:rsid w:val="001633D6"/>
    <w:rsid w:val="00167CFD"/>
    <w:rsid w:val="00171DF9"/>
    <w:rsid w:val="00177F67"/>
    <w:rsid w:val="00187587"/>
    <w:rsid w:val="00191A62"/>
    <w:rsid w:val="00194651"/>
    <w:rsid w:val="0019767A"/>
    <w:rsid w:val="001B3898"/>
    <w:rsid w:val="001B587B"/>
    <w:rsid w:val="001C0ADE"/>
    <w:rsid w:val="001C28DF"/>
    <w:rsid w:val="001C4C49"/>
    <w:rsid w:val="001C53D5"/>
    <w:rsid w:val="001E58A3"/>
    <w:rsid w:val="001F0CED"/>
    <w:rsid w:val="001F36F0"/>
    <w:rsid w:val="002076F1"/>
    <w:rsid w:val="00210BAD"/>
    <w:rsid w:val="0022496C"/>
    <w:rsid w:val="00232EA6"/>
    <w:rsid w:val="00236A74"/>
    <w:rsid w:val="0023721F"/>
    <w:rsid w:val="00237CD1"/>
    <w:rsid w:val="0024265F"/>
    <w:rsid w:val="002442D8"/>
    <w:rsid w:val="00244F10"/>
    <w:rsid w:val="00255073"/>
    <w:rsid w:val="00255196"/>
    <w:rsid w:val="00260DB9"/>
    <w:rsid w:val="00266E30"/>
    <w:rsid w:val="00270E06"/>
    <w:rsid w:val="0027210E"/>
    <w:rsid w:val="00277736"/>
    <w:rsid w:val="00282A30"/>
    <w:rsid w:val="00283BA1"/>
    <w:rsid w:val="002A2EAC"/>
    <w:rsid w:val="002C68E1"/>
    <w:rsid w:val="002E6340"/>
    <w:rsid w:val="002E782E"/>
    <w:rsid w:val="002F3D56"/>
    <w:rsid w:val="002F408D"/>
    <w:rsid w:val="002F61A9"/>
    <w:rsid w:val="002F74FA"/>
    <w:rsid w:val="002F7A9E"/>
    <w:rsid w:val="003004B8"/>
    <w:rsid w:val="0030254D"/>
    <w:rsid w:val="003179C7"/>
    <w:rsid w:val="003253D0"/>
    <w:rsid w:val="00326EDF"/>
    <w:rsid w:val="00341830"/>
    <w:rsid w:val="0035490F"/>
    <w:rsid w:val="00357119"/>
    <w:rsid w:val="00366C98"/>
    <w:rsid w:val="003671A8"/>
    <w:rsid w:val="003759AD"/>
    <w:rsid w:val="003779EA"/>
    <w:rsid w:val="003829AC"/>
    <w:rsid w:val="00382C0D"/>
    <w:rsid w:val="00386BC2"/>
    <w:rsid w:val="0038754B"/>
    <w:rsid w:val="003A01FA"/>
    <w:rsid w:val="003A6FD8"/>
    <w:rsid w:val="003B0B9B"/>
    <w:rsid w:val="003B229F"/>
    <w:rsid w:val="003B748D"/>
    <w:rsid w:val="003C0DC2"/>
    <w:rsid w:val="003C0E91"/>
    <w:rsid w:val="003C1FDA"/>
    <w:rsid w:val="003D1E2B"/>
    <w:rsid w:val="003D265A"/>
    <w:rsid w:val="003D3ED2"/>
    <w:rsid w:val="003E0C59"/>
    <w:rsid w:val="003E7214"/>
    <w:rsid w:val="003E752E"/>
    <w:rsid w:val="003F0C20"/>
    <w:rsid w:val="003F2467"/>
    <w:rsid w:val="004004EF"/>
    <w:rsid w:val="00403061"/>
    <w:rsid w:val="00404FBB"/>
    <w:rsid w:val="00412CD3"/>
    <w:rsid w:val="00423468"/>
    <w:rsid w:val="00425428"/>
    <w:rsid w:val="004301E2"/>
    <w:rsid w:val="00431AB4"/>
    <w:rsid w:val="00433266"/>
    <w:rsid w:val="00441CD9"/>
    <w:rsid w:val="00461400"/>
    <w:rsid w:val="0046637C"/>
    <w:rsid w:val="0047382C"/>
    <w:rsid w:val="00474C64"/>
    <w:rsid w:val="004809B4"/>
    <w:rsid w:val="00480A86"/>
    <w:rsid w:val="00481A4F"/>
    <w:rsid w:val="0048392A"/>
    <w:rsid w:val="00486F63"/>
    <w:rsid w:val="0049310C"/>
    <w:rsid w:val="00494AEC"/>
    <w:rsid w:val="004B715C"/>
    <w:rsid w:val="004D4A89"/>
    <w:rsid w:val="004E1B24"/>
    <w:rsid w:val="004E7538"/>
    <w:rsid w:val="004F59F5"/>
    <w:rsid w:val="004F792B"/>
    <w:rsid w:val="005007DE"/>
    <w:rsid w:val="005007EA"/>
    <w:rsid w:val="00501032"/>
    <w:rsid w:val="005032DE"/>
    <w:rsid w:val="0050799E"/>
    <w:rsid w:val="0051374D"/>
    <w:rsid w:val="00514992"/>
    <w:rsid w:val="0052423B"/>
    <w:rsid w:val="00532585"/>
    <w:rsid w:val="00533F71"/>
    <w:rsid w:val="005464D9"/>
    <w:rsid w:val="00551B2D"/>
    <w:rsid w:val="00553AB5"/>
    <w:rsid w:val="00560529"/>
    <w:rsid w:val="00560CAB"/>
    <w:rsid w:val="0057067C"/>
    <w:rsid w:val="00581A7C"/>
    <w:rsid w:val="00582B1C"/>
    <w:rsid w:val="0058727E"/>
    <w:rsid w:val="005873BA"/>
    <w:rsid w:val="005929D0"/>
    <w:rsid w:val="00592F93"/>
    <w:rsid w:val="005A14F3"/>
    <w:rsid w:val="005A3A8B"/>
    <w:rsid w:val="005A4732"/>
    <w:rsid w:val="005B206B"/>
    <w:rsid w:val="005B20DC"/>
    <w:rsid w:val="005B4D38"/>
    <w:rsid w:val="005B5E0E"/>
    <w:rsid w:val="005B7B57"/>
    <w:rsid w:val="005D0873"/>
    <w:rsid w:val="005D620A"/>
    <w:rsid w:val="005E049C"/>
    <w:rsid w:val="005E59D4"/>
    <w:rsid w:val="00600080"/>
    <w:rsid w:val="006039FD"/>
    <w:rsid w:val="00605644"/>
    <w:rsid w:val="00605F89"/>
    <w:rsid w:val="006143C0"/>
    <w:rsid w:val="00614EAB"/>
    <w:rsid w:val="00615D59"/>
    <w:rsid w:val="00615FE0"/>
    <w:rsid w:val="00623EFB"/>
    <w:rsid w:val="0063064F"/>
    <w:rsid w:val="006315EC"/>
    <w:rsid w:val="00640C3D"/>
    <w:rsid w:val="006517A3"/>
    <w:rsid w:val="00654FEE"/>
    <w:rsid w:val="00657FBD"/>
    <w:rsid w:val="006613C0"/>
    <w:rsid w:val="00663C53"/>
    <w:rsid w:val="00664677"/>
    <w:rsid w:val="0067236D"/>
    <w:rsid w:val="006737CA"/>
    <w:rsid w:val="006747F8"/>
    <w:rsid w:val="00674F86"/>
    <w:rsid w:val="00676D78"/>
    <w:rsid w:val="006820A7"/>
    <w:rsid w:val="006873E1"/>
    <w:rsid w:val="0069195D"/>
    <w:rsid w:val="00695592"/>
    <w:rsid w:val="00695DE2"/>
    <w:rsid w:val="00696060"/>
    <w:rsid w:val="006963CE"/>
    <w:rsid w:val="00697B41"/>
    <w:rsid w:val="006A295C"/>
    <w:rsid w:val="006A43B3"/>
    <w:rsid w:val="006A520D"/>
    <w:rsid w:val="006B1962"/>
    <w:rsid w:val="006B2E92"/>
    <w:rsid w:val="006B6218"/>
    <w:rsid w:val="006C2B9D"/>
    <w:rsid w:val="006C646B"/>
    <w:rsid w:val="006D0EEA"/>
    <w:rsid w:val="006D2764"/>
    <w:rsid w:val="006D5F6D"/>
    <w:rsid w:val="006E0D28"/>
    <w:rsid w:val="006E32E7"/>
    <w:rsid w:val="006E67C9"/>
    <w:rsid w:val="006F0831"/>
    <w:rsid w:val="006F4D3E"/>
    <w:rsid w:val="007037FB"/>
    <w:rsid w:val="00704070"/>
    <w:rsid w:val="00712DE1"/>
    <w:rsid w:val="00716E0A"/>
    <w:rsid w:val="007268BC"/>
    <w:rsid w:val="00731B86"/>
    <w:rsid w:val="00733566"/>
    <w:rsid w:val="00734769"/>
    <w:rsid w:val="007406E4"/>
    <w:rsid w:val="00741CED"/>
    <w:rsid w:val="00755E20"/>
    <w:rsid w:val="00762A5D"/>
    <w:rsid w:val="007650EA"/>
    <w:rsid w:val="00765D6D"/>
    <w:rsid w:val="00772088"/>
    <w:rsid w:val="007779A1"/>
    <w:rsid w:val="0078347E"/>
    <w:rsid w:val="007946B5"/>
    <w:rsid w:val="00795561"/>
    <w:rsid w:val="007978C9"/>
    <w:rsid w:val="00797C9F"/>
    <w:rsid w:val="007B382D"/>
    <w:rsid w:val="007D2250"/>
    <w:rsid w:val="007D3AD3"/>
    <w:rsid w:val="007D6495"/>
    <w:rsid w:val="007E138B"/>
    <w:rsid w:val="007F4686"/>
    <w:rsid w:val="008021D0"/>
    <w:rsid w:val="00810F42"/>
    <w:rsid w:val="0081136B"/>
    <w:rsid w:val="00822AA7"/>
    <w:rsid w:val="00823F1D"/>
    <w:rsid w:val="008248B4"/>
    <w:rsid w:val="00831EB5"/>
    <w:rsid w:val="00832253"/>
    <w:rsid w:val="0083266C"/>
    <w:rsid w:val="008359A3"/>
    <w:rsid w:val="0083760B"/>
    <w:rsid w:val="00841877"/>
    <w:rsid w:val="00842C93"/>
    <w:rsid w:val="00843340"/>
    <w:rsid w:val="0085307D"/>
    <w:rsid w:val="00853F97"/>
    <w:rsid w:val="00865A37"/>
    <w:rsid w:val="00881C8E"/>
    <w:rsid w:val="0088340F"/>
    <w:rsid w:val="00896442"/>
    <w:rsid w:val="00897778"/>
    <w:rsid w:val="008A4304"/>
    <w:rsid w:val="008B3A2A"/>
    <w:rsid w:val="008B5134"/>
    <w:rsid w:val="008C557F"/>
    <w:rsid w:val="008C73B2"/>
    <w:rsid w:val="008D1051"/>
    <w:rsid w:val="008D52A1"/>
    <w:rsid w:val="008E201B"/>
    <w:rsid w:val="008F075D"/>
    <w:rsid w:val="008F160A"/>
    <w:rsid w:val="008F1667"/>
    <w:rsid w:val="008F4061"/>
    <w:rsid w:val="008F5422"/>
    <w:rsid w:val="008F61D6"/>
    <w:rsid w:val="008F6ECC"/>
    <w:rsid w:val="009006B6"/>
    <w:rsid w:val="009044BE"/>
    <w:rsid w:val="00907265"/>
    <w:rsid w:val="009121BF"/>
    <w:rsid w:val="00914A28"/>
    <w:rsid w:val="00915277"/>
    <w:rsid w:val="009157C9"/>
    <w:rsid w:val="00920C12"/>
    <w:rsid w:val="00923C02"/>
    <w:rsid w:val="00925B31"/>
    <w:rsid w:val="00934BC2"/>
    <w:rsid w:val="00935138"/>
    <w:rsid w:val="00941E2C"/>
    <w:rsid w:val="00943484"/>
    <w:rsid w:val="00943B29"/>
    <w:rsid w:val="00943BB8"/>
    <w:rsid w:val="009469D2"/>
    <w:rsid w:val="00950C56"/>
    <w:rsid w:val="00951C95"/>
    <w:rsid w:val="009526BF"/>
    <w:rsid w:val="00967028"/>
    <w:rsid w:val="0097198F"/>
    <w:rsid w:val="009738A5"/>
    <w:rsid w:val="00977268"/>
    <w:rsid w:val="00977DB6"/>
    <w:rsid w:val="009810C1"/>
    <w:rsid w:val="00984C85"/>
    <w:rsid w:val="00993735"/>
    <w:rsid w:val="009A21F1"/>
    <w:rsid w:val="009C2BD6"/>
    <w:rsid w:val="009C38ED"/>
    <w:rsid w:val="009D306A"/>
    <w:rsid w:val="009D366C"/>
    <w:rsid w:val="009D3B66"/>
    <w:rsid w:val="009D3BDF"/>
    <w:rsid w:val="009E4D09"/>
    <w:rsid w:val="009E5D70"/>
    <w:rsid w:val="009F3B90"/>
    <w:rsid w:val="009F679C"/>
    <w:rsid w:val="009F6944"/>
    <w:rsid w:val="009F7ED1"/>
    <w:rsid w:val="00A116B2"/>
    <w:rsid w:val="00A20141"/>
    <w:rsid w:val="00A210C9"/>
    <w:rsid w:val="00A2382F"/>
    <w:rsid w:val="00A44F05"/>
    <w:rsid w:val="00A44FC2"/>
    <w:rsid w:val="00A4798F"/>
    <w:rsid w:val="00A616A9"/>
    <w:rsid w:val="00A6380E"/>
    <w:rsid w:val="00A65878"/>
    <w:rsid w:val="00A71AC5"/>
    <w:rsid w:val="00A71F6E"/>
    <w:rsid w:val="00A73105"/>
    <w:rsid w:val="00A90629"/>
    <w:rsid w:val="00A94133"/>
    <w:rsid w:val="00A95ECF"/>
    <w:rsid w:val="00AA0FC6"/>
    <w:rsid w:val="00AA4501"/>
    <w:rsid w:val="00AB1F8D"/>
    <w:rsid w:val="00AB4BA2"/>
    <w:rsid w:val="00AE4340"/>
    <w:rsid w:val="00AE548B"/>
    <w:rsid w:val="00AE6DA1"/>
    <w:rsid w:val="00AE7753"/>
    <w:rsid w:val="00AF59CA"/>
    <w:rsid w:val="00AF5DC8"/>
    <w:rsid w:val="00B015C0"/>
    <w:rsid w:val="00B025DD"/>
    <w:rsid w:val="00B04093"/>
    <w:rsid w:val="00B069D8"/>
    <w:rsid w:val="00B12031"/>
    <w:rsid w:val="00B22F0D"/>
    <w:rsid w:val="00B2785B"/>
    <w:rsid w:val="00B3239F"/>
    <w:rsid w:val="00B341F9"/>
    <w:rsid w:val="00B41608"/>
    <w:rsid w:val="00B44540"/>
    <w:rsid w:val="00B463E9"/>
    <w:rsid w:val="00B47B3D"/>
    <w:rsid w:val="00B51261"/>
    <w:rsid w:val="00B60C67"/>
    <w:rsid w:val="00B6448E"/>
    <w:rsid w:val="00B66BE3"/>
    <w:rsid w:val="00B72B9D"/>
    <w:rsid w:val="00B73338"/>
    <w:rsid w:val="00B75B5C"/>
    <w:rsid w:val="00B941A9"/>
    <w:rsid w:val="00B9577E"/>
    <w:rsid w:val="00B95F43"/>
    <w:rsid w:val="00B96BD5"/>
    <w:rsid w:val="00BA5E33"/>
    <w:rsid w:val="00BB4F90"/>
    <w:rsid w:val="00BB5FFC"/>
    <w:rsid w:val="00BB62FE"/>
    <w:rsid w:val="00BB6FFD"/>
    <w:rsid w:val="00BC11C1"/>
    <w:rsid w:val="00BC3B07"/>
    <w:rsid w:val="00BC44F9"/>
    <w:rsid w:val="00BC48A4"/>
    <w:rsid w:val="00BC74D9"/>
    <w:rsid w:val="00BD55EA"/>
    <w:rsid w:val="00BD609B"/>
    <w:rsid w:val="00BD79B7"/>
    <w:rsid w:val="00BE427E"/>
    <w:rsid w:val="00BE62B4"/>
    <w:rsid w:val="00BF0E6D"/>
    <w:rsid w:val="00C0016A"/>
    <w:rsid w:val="00C00801"/>
    <w:rsid w:val="00C018EA"/>
    <w:rsid w:val="00C13944"/>
    <w:rsid w:val="00C245A9"/>
    <w:rsid w:val="00C506C8"/>
    <w:rsid w:val="00C52E75"/>
    <w:rsid w:val="00C53A21"/>
    <w:rsid w:val="00C545C5"/>
    <w:rsid w:val="00C55124"/>
    <w:rsid w:val="00C55B08"/>
    <w:rsid w:val="00C65900"/>
    <w:rsid w:val="00C76B40"/>
    <w:rsid w:val="00C81F5B"/>
    <w:rsid w:val="00C966EC"/>
    <w:rsid w:val="00CA0758"/>
    <w:rsid w:val="00CB5F0E"/>
    <w:rsid w:val="00CB656C"/>
    <w:rsid w:val="00CC0ADE"/>
    <w:rsid w:val="00CC2382"/>
    <w:rsid w:val="00CC2617"/>
    <w:rsid w:val="00CC315A"/>
    <w:rsid w:val="00CC4ECB"/>
    <w:rsid w:val="00CD1547"/>
    <w:rsid w:val="00CD1AE7"/>
    <w:rsid w:val="00CD5C3E"/>
    <w:rsid w:val="00CE6792"/>
    <w:rsid w:val="00CF0F2C"/>
    <w:rsid w:val="00CF2142"/>
    <w:rsid w:val="00CF5D86"/>
    <w:rsid w:val="00D156A7"/>
    <w:rsid w:val="00D217AF"/>
    <w:rsid w:val="00D357C4"/>
    <w:rsid w:val="00D56B09"/>
    <w:rsid w:val="00D64747"/>
    <w:rsid w:val="00D67C6D"/>
    <w:rsid w:val="00D73CBC"/>
    <w:rsid w:val="00D77769"/>
    <w:rsid w:val="00D77B43"/>
    <w:rsid w:val="00D77F57"/>
    <w:rsid w:val="00D821BC"/>
    <w:rsid w:val="00D870E9"/>
    <w:rsid w:val="00D87F73"/>
    <w:rsid w:val="00D90324"/>
    <w:rsid w:val="00D94D81"/>
    <w:rsid w:val="00D9661A"/>
    <w:rsid w:val="00D9746F"/>
    <w:rsid w:val="00DA15E5"/>
    <w:rsid w:val="00DA2CB9"/>
    <w:rsid w:val="00DA532D"/>
    <w:rsid w:val="00DA7C1C"/>
    <w:rsid w:val="00DB3154"/>
    <w:rsid w:val="00DB5FF1"/>
    <w:rsid w:val="00DB7956"/>
    <w:rsid w:val="00DE3878"/>
    <w:rsid w:val="00DE4261"/>
    <w:rsid w:val="00DE5E52"/>
    <w:rsid w:val="00E00CA8"/>
    <w:rsid w:val="00E0341C"/>
    <w:rsid w:val="00E041DB"/>
    <w:rsid w:val="00E07E65"/>
    <w:rsid w:val="00E07FAA"/>
    <w:rsid w:val="00E137BE"/>
    <w:rsid w:val="00E14C45"/>
    <w:rsid w:val="00E17EE5"/>
    <w:rsid w:val="00E254C8"/>
    <w:rsid w:val="00E32EC8"/>
    <w:rsid w:val="00E34838"/>
    <w:rsid w:val="00E35C8C"/>
    <w:rsid w:val="00E45CE4"/>
    <w:rsid w:val="00E643EE"/>
    <w:rsid w:val="00E77BC4"/>
    <w:rsid w:val="00E853C2"/>
    <w:rsid w:val="00E900CF"/>
    <w:rsid w:val="00E975D1"/>
    <w:rsid w:val="00EA53DD"/>
    <w:rsid w:val="00EA6D9C"/>
    <w:rsid w:val="00EB0FC7"/>
    <w:rsid w:val="00EB724E"/>
    <w:rsid w:val="00EB74A2"/>
    <w:rsid w:val="00EB7583"/>
    <w:rsid w:val="00EC1B49"/>
    <w:rsid w:val="00ED6927"/>
    <w:rsid w:val="00ED6E76"/>
    <w:rsid w:val="00EE34F6"/>
    <w:rsid w:val="00EE5D4D"/>
    <w:rsid w:val="00EE79A2"/>
    <w:rsid w:val="00EF19A9"/>
    <w:rsid w:val="00EF49CD"/>
    <w:rsid w:val="00EF6E89"/>
    <w:rsid w:val="00F034A9"/>
    <w:rsid w:val="00F07999"/>
    <w:rsid w:val="00F307FA"/>
    <w:rsid w:val="00F30B8A"/>
    <w:rsid w:val="00F30F5B"/>
    <w:rsid w:val="00F33CC5"/>
    <w:rsid w:val="00F36678"/>
    <w:rsid w:val="00F423EB"/>
    <w:rsid w:val="00F426B9"/>
    <w:rsid w:val="00F445B3"/>
    <w:rsid w:val="00F44FAE"/>
    <w:rsid w:val="00F47BD1"/>
    <w:rsid w:val="00F509E6"/>
    <w:rsid w:val="00F52823"/>
    <w:rsid w:val="00F53459"/>
    <w:rsid w:val="00F5413E"/>
    <w:rsid w:val="00F6246C"/>
    <w:rsid w:val="00F62785"/>
    <w:rsid w:val="00F62DD0"/>
    <w:rsid w:val="00F80C3B"/>
    <w:rsid w:val="00F823E6"/>
    <w:rsid w:val="00F87D41"/>
    <w:rsid w:val="00F9222B"/>
    <w:rsid w:val="00FA3268"/>
    <w:rsid w:val="00FA3893"/>
    <w:rsid w:val="00FA5E59"/>
    <w:rsid w:val="00FC4331"/>
    <w:rsid w:val="00FC498A"/>
    <w:rsid w:val="00FC637D"/>
    <w:rsid w:val="00FC6668"/>
    <w:rsid w:val="00FC7809"/>
    <w:rsid w:val="00FD20AA"/>
    <w:rsid w:val="00FD44FE"/>
    <w:rsid w:val="00FE1539"/>
    <w:rsid w:val="00FE74A6"/>
    <w:rsid w:val="00FE7849"/>
    <w:rsid w:val="00FF0AD6"/>
    <w:rsid w:val="00FF1FB8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9AD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496C"/>
    <w:pPr>
      <w:spacing w:after="120"/>
    </w:pPr>
  </w:style>
  <w:style w:type="character" w:customStyle="1" w:styleId="a4">
    <w:name w:val="Основной текст Знак"/>
    <w:basedOn w:val="a0"/>
    <w:link w:val="a3"/>
    <w:rsid w:val="00224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D6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49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B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3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F823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759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3759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759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759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3759A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7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rsid w:val="003759AD"/>
    <w:pPr>
      <w:ind w:left="-360" w:right="-55" w:firstLine="540"/>
      <w:jc w:val="both"/>
    </w:pPr>
    <w:rPr>
      <w:sz w:val="26"/>
    </w:rPr>
  </w:style>
  <w:style w:type="character" w:customStyle="1" w:styleId="apple-style-span">
    <w:name w:val="apple-style-span"/>
    <w:rsid w:val="00150261"/>
  </w:style>
  <w:style w:type="paragraph" w:styleId="ac">
    <w:name w:val="header"/>
    <w:basedOn w:val="a"/>
    <w:link w:val="ad"/>
    <w:uiPriority w:val="99"/>
    <w:unhideWhenUsed/>
    <w:rsid w:val="004254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5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254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54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9AD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496C"/>
    <w:pPr>
      <w:spacing w:after="120"/>
    </w:pPr>
  </w:style>
  <w:style w:type="character" w:customStyle="1" w:styleId="a4">
    <w:name w:val="Основной текст Знак"/>
    <w:basedOn w:val="a0"/>
    <w:link w:val="a3"/>
    <w:rsid w:val="00224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D6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49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B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3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F823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759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3759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759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759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3759A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7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rsid w:val="003759AD"/>
    <w:pPr>
      <w:ind w:left="-360" w:right="-55" w:firstLine="540"/>
      <w:jc w:val="both"/>
    </w:pPr>
    <w:rPr>
      <w:sz w:val="26"/>
    </w:rPr>
  </w:style>
  <w:style w:type="character" w:customStyle="1" w:styleId="apple-style-span">
    <w:name w:val="apple-style-span"/>
    <w:rsid w:val="00150261"/>
  </w:style>
  <w:style w:type="paragraph" w:styleId="ac">
    <w:name w:val="header"/>
    <w:basedOn w:val="a"/>
    <w:link w:val="ad"/>
    <w:uiPriority w:val="99"/>
    <w:unhideWhenUsed/>
    <w:rsid w:val="004254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5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254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54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&#1043;&#1086;&#1089;&#1076;&#1086;&#1083;&#1075;\&#1044;&#1086;&#1083;&#1075;%20&#1089;&#1091;&#1073;&#1098;&#1077;&#1082;&#1090;&#1086;&#1074;\&#1057;&#1074;&#1086;&#1076;&#1085;&#1072;&#1103;%20&#1087;&#1086;%20&#1076;&#1086;&#1083;&#1075;&#1091;%20&#1058;&#1054;%20&#1079;&#1072;%20&#1087;&#1077;&#1088;&#1080;&#1086;&#1076;%202005-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3;&#1086;&#1089;&#1076;&#1086;&#1083;&#1075;\&#1056;&#1072;&#1073;&#1086;&#1095;&#1080;&#1081;%20&#1084;&#1072;&#1090;&#1077;&#1088;&#1080;&#1072;&#1083;\&#1055;&#1086;&#1075;&#1072;&#1096;&#1077;&#1085;&#1080;&#1077;%20&#1076;&#1086;&#1083;&#1075;&#1072;%20&#1087;&#1086;%20&#1075;&#1086;&#1076;&#1072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Темп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роста государственного долга Томской области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92201087341587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643207346275796E-2"/>
          <c:y val="0.1029177012855159"/>
          <c:w val="0.93394738782617903"/>
          <c:h val="0.8159504862953146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9550339121413925E-3"/>
                  <c:y val="0.134394341290893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9550339121413925E-3"/>
                  <c:y val="0.166224580017683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9100678242827832E-3"/>
                  <c:y val="0.180371352785145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.212201591511936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9100678242827832E-3"/>
                  <c:y val="0.201591511936339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0.169761273209549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0.113174182139699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'Томская обл.'!$A$17:$A$23</c:f>
              <c:strCache>
                <c:ptCount val="7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</c:strCache>
            </c:strRef>
          </c:cat>
          <c:val>
            <c:numRef>
              <c:f>'Томская обл.'!$B$17:$B$23</c:f>
              <c:numCache>
                <c:formatCode>#,##0.0</c:formatCode>
                <c:ptCount val="7"/>
                <c:pt idx="0">
                  <c:v>6.9427050159999997</c:v>
                </c:pt>
                <c:pt idx="1">
                  <c:v>10.3493593</c:v>
                </c:pt>
                <c:pt idx="2">
                  <c:v>14.637550000000001</c:v>
                </c:pt>
                <c:pt idx="3">
                  <c:v>19.853690775</c:v>
                </c:pt>
                <c:pt idx="4">
                  <c:v>23.215173375569982</c:v>
                </c:pt>
                <c:pt idx="5">
                  <c:v>25.658309375569971</c:v>
                </c:pt>
                <c:pt idx="6">
                  <c:v>28.371696375569982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axId val="246931840"/>
        <c:axId val="246934528"/>
      </c:barChart>
      <c:catAx>
        <c:axId val="246931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6934528"/>
        <c:crosses val="autoZero"/>
        <c:auto val="1"/>
        <c:lblAlgn val="ctr"/>
        <c:lblOffset val="100"/>
        <c:noMultiLvlLbl val="0"/>
      </c:catAx>
      <c:valAx>
        <c:axId val="246934528"/>
        <c:scaling>
          <c:orientation val="minMax"/>
        </c:scaling>
        <c:delete val="0"/>
        <c:axPos val="l"/>
        <c:numFmt formatCode="#,##0.0" sourceLinked="1"/>
        <c:majorTickMark val="none"/>
        <c:minorTickMark val="none"/>
        <c:tickLblPos val="nextTo"/>
        <c:txPr>
          <a:bodyPr/>
          <a:lstStyle/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6931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График погашения государственного долга</a:t>
            </a:r>
            <a:r>
              <a:rPr lang="en-US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, %</a:t>
            </a: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7518700787401593E-2"/>
          <c:y val="0.15055679287305124"/>
          <c:w val="0.90062992125984265"/>
          <c:h val="0.6915812917594654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Лист1!$B$2:$I$2</c:f>
              <c:strCache>
                <c:ptCount val="8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  <c:pt idx="5">
                  <c:v>2023 г.</c:v>
                </c:pt>
                <c:pt idx="6">
                  <c:v>2024 г.</c:v>
                </c:pt>
                <c:pt idx="7">
                  <c:v>2025-2034 г.</c:v>
                </c:pt>
              </c:strCache>
            </c:strRef>
          </c:cat>
          <c:val>
            <c:numRef>
              <c:f>Лист1!$B$4:$I$4</c:f>
              <c:numCache>
                <c:formatCode>0%</c:formatCode>
                <c:ptCount val="8"/>
                <c:pt idx="0">
                  <c:v>0.13165026160424489</c:v>
                </c:pt>
                <c:pt idx="1">
                  <c:v>0.19540439798212894</c:v>
                </c:pt>
                <c:pt idx="2">
                  <c:v>0.22876913717393493</c:v>
                </c:pt>
                <c:pt idx="3">
                  <c:v>0.13007999067612527</c:v>
                </c:pt>
                <c:pt idx="4">
                  <c:v>0.12303071179789025</c:v>
                </c:pt>
                <c:pt idx="5">
                  <c:v>0.12303071179789025</c:v>
                </c:pt>
                <c:pt idx="6">
                  <c:v>6.1349521613334672E-2</c:v>
                </c:pt>
                <c:pt idx="7">
                  <c:v>6.6852673544512218E-3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4"/>
        <c:overlap val="22"/>
        <c:axId val="248335360"/>
        <c:axId val="248366592"/>
      </c:barChart>
      <c:catAx>
        <c:axId val="24833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8366592"/>
        <c:crosses val="autoZero"/>
        <c:auto val="1"/>
        <c:lblAlgn val="ctr"/>
        <c:lblOffset val="100"/>
        <c:noMultiLvlLbl val="0"/>
      </c:catAx>
      <c:valAx>
        <c:axId val="24836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8335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0.14397</cdr:x>
      <cdr:y>0.55274</cdr:y>
    </cdr:from>
    <cdr:to>
      <cdr:x>0.24595</cdr:x>
      <cdr:y>0.63762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62001" y="1516276"/>
          <a:ext cx="539746" cy="2328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 i="0">
              <a:latin typeface="Times New Roman" pitchFamily="18" charset="0"/>
              <a:cs typeface="Times New Roman" pitchFamily="18" charset="0"/>
            </a:rPr>
            <a:t>+49</a:t>
          </a:r>
          <a:r>
            <a:rPr lang="ru-RU" sz="1200" b="1" i="0"/>
            <a:t>%</a:t>
          </a: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0.16729</cdr:x>
      <cdr:y>0.62334</cdr:y>
    </cdr:from>
    <cdr:to>
      <cdr:x>0.22512</cdr:x>
      <cdr:y>0.72414</cdr:y>
    </cdr:to>
    <cdr:sp macro="" textlink="">
      <cdr:nvSpPr>
        <cdr:cNvPr id="6" name="Стрелка углом 5"/>
        <cdr:cNvSpPr/>
      </cdr:nvSpPr>
      <cdr:spPr>
        <a:xfrm xmlns:a="http://schemas.openxmlformats.org/drawingml/2006/main">
          <a:off x="885414" y="1709946"/>
          <a:ext cx="306078" cy="276515"/>
        </a:xfrm>
        <a:prstGeom xmlns:a="http://schemas.openxmlformats.org/drawingml/2006/main" prst="bentArrow">
          <a:avLst/>
        </a:prstGeom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0.29032</cdr:x>
      <cdr:y>0.51194</cdr:y>
    </cdr:from>
    <cdr:to>
      <cdr:x>0.35393</cdr:x>
      <cdr:y>0.625</cdr:y>
    </cdr:to>
    <cdr:sp macro="" textlink="">
      <cdr:nvSpPr>
        <cdr:cNvPr id="7" name="Стрелка углом 6"/>
        <cdr:cNvSpPr/>
      </cdr:nvSpPr>
      <cdr:spPr>
        <a:xfrm xmlns:a="http://schemas.openxmlformats.org/drawingml/2006/main">
          <a:off x="1536584" y="1404354"/>
          <a:ext cx="336666" cy="310146"/>
        </a:xfrm>
        <a:prstGeom xmlns:a="http://schemas.openxmlformats.org/drawingml/2006/main" prst="bentArrow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4F81BD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0.41935</cdr:x>
      <cdr:y>0.3588</cdr:y>
    </cdr:from>
    <cdr:to>
      <cdr:x>0.4847</cdr:x>
      <cdr:y>0.50398</cdr:y>
    </cdr:to>
    <cdr:sp macro="" textlink="">
      <cdr:nvSpPr>
        <cdr:cNvPr id="9" name="Стрелка углом 8"/>
        <cdr:cNvSpPr/>
      </cdr:nvSpPr>
      <cdr:spPr>
        <a:xfrm xmlns:a="http://schemas.openxmlformats.org/drawingml/2006/main">
          <a:off x="2219504" y="984250"/>
          <a:ext cx="345896" cy="398268"/>
        </a:xfrm>
        <a:prstGeom xmlns:a="http://schemas.openxmlformats.org/drawingml/2006/main" prst="bentArrow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4F81BD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0.55532</cdr:x>
      <cdr:y>0.27056</cdr:y>
    </cdr:from>
    <cdr:to>
      <cdr:x>0.61608</cdr:x>
      <cdr:y>0.36605</cdr:y>
    </cdr:to>
    <cdr:sp macro="" textlink="">
      <cdr:nvSpPr>
        <cdr:cNvPr id="10" name="Стрелка углом 9"/>
        <cdr:cNvSpPr/>
      </cdr:nvSpPr>
      <cdr:spPr>
        <a:xfrm xmlns:a="http://schemas.openxmlformats.org/drawingml/2006/main">
          <a:off x="2939147" y="742200"/>
          <a:ext cx="321586" cy="261948"/>
        </a:xfrm>
        <a:prstGeom xmlns:a="http://schemas.openxmlformats.org/drawingml/2006/main" prst="bentArrow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4F81BD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0.69008</cdr:x>
      <cdr:y>0.19907</cdr:y>
    </cdr:from>
    <cdr:to>
      <cdr:x>0.74745</cdr:x>
      <cdr:y>0.29143</cdr:y>
    </cdr:to>
    <cdr:sp macro="" textlink="">
      <cdr:nvSpPr>
        <cdr:cNvPr id="11" name="Стрелка углом 10"/>
        <cdr:cNvSpPr/>
      </cdr:nvSpPr>
      <cdr:spPr>
        <a:xfrm xmlns:a="http://schemas.openxmlformats.org/drawingml/2006/main">
          <a:off x="3652401" y="546102"/>
          <a:ext cx="303644" cy="253362"/>
        </a:xfrm>
        <a:prstGeom xmlns:a="http://schemas.openxmlformats.org/drawingml/2006/main" prst="bentArrow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4F81BD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0.82005</cdr:x>
      <cdr:y>0.12202</cdr:y>
    </cdr:from>
    <cdr:to>
      <cdr:x>0.87788</cdr:x>
      <cdr:y>0.22281</cdr:y>
    </cdr:to>
    <cdr:sp macro="" textlink="">
      <cdr:nvSpPr>
        <cdr:cNvPr id="12" name="Стрелка углом 11"/>
        <cdr:cNvSpPr/>
      </cdr:nvSpPr>
      <cdr:spPr>
        <a:xfrm xmlns:a="http://schemas.openxmlformats.org/drawingml/2006/main">
          <a:off x="4340294" y="334725"/>
          <a:ext cx="306078" cy="276487"/>
        </a:xfrm>
        <a:prstGeom xmlns:a="http://schemas.openxmlformats.org/drawingml/2006/main" prst="bentArrow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4F81BD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0.26395</cdr:x>
      <cdr:y>0.44907</cdr:y>
    </cdr:from>
    <cdr:to>
      <cdr:x>0.38992</cdr:x>
      <cdr:y>0.54372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1397000" y="1231889"/>
          <a:ext cx="666750" cy="2596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+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41%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0.38632</cdr:x>
      <cdr:y>0.29515</cdr:y>
    </cdr:from>
    <cdr:to>
      <cdr:x>0.5051</cdr:x>
      <cdr:y>0.37473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2044701" y="809655"/>
          <a:ext cx="628649" cy="2183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+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36%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0.53149</cdr:x>
      <cdr:y>0.19933</cdr:y>
    </cdr:from>
    <cdr:to>
      <cdr:x>0.64907</cdr:x>
      <cdr:y>0.27891</cdr:y>
    </cdr:to>
    <cdr:sp macro="" textlink="">
      <cdr:nvSpPr>
        <cdr:cNvPr id="16" name="TextBox 15"/>
        <cdr:cNvSpPr txBox="1"/>
      </cdr:nvSpPr>
      <cdr:spPr>
        <a:xfrm xmlns:a="http://schemas.openxmlformats.org/drawingml/2006/main">
          <a:off x="2813050" y="546802"/>
          <a:ext cx="622299" cy="2183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+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17%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0.66947</cdr:x>
      <cdr:y>0.12341</cdr:y>
    </cdr:from>
    <cdr:to>
      <cdr:x>0.78704</cdr:x>
      <cdr:y>0.20564</cdr:y>
    </cdr:to>
    <cdr:sp macro="" textlink="">
      <cdr:nvSpPr>
        <cdr:cNvPr id="17" name="TextBox 16"/>
        <cdr:cNvSpPr txBox="1"/>
      </cdr:nvSpPr>
      <cdr:spPr>
        <a:xfrm xmlns:a="http://schemas.openxmlformats.org/drawingml/2006/main">
          <a:off x="3543300" y="338538"/>
          <a:ext cx="622300" cy="2255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+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11%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0.79424</cdr:x>
      <cdr:y>0.0574</cdr:y>
    </cdr:from>
    <cdr:to>
      <cdr:x>0.92022</cdr:x>
      <cdr:y>0.15289</cdr:y>
    </cdr:to>
    <cdr:sp macro="" textlink="">
      <cdr:nvSpPr>
        <cdr:cNvPr id="18" name="TextBox 17"/>
        <cdr:cNvSpPr txBox="1"/>
      </cdr:nvSpPr>
      <cdr:spPr>
        <a:xfrm xmlns:a="http://schemas.openxmlformats.org/drawingml/2006/main">
          <a:off x="4203700" y="157460"/>
          <a:ext cx="666750" cy="2619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+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11%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249D3-7CE6-4013-B92C-F242FE74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test_user</dc:creator>
  <cp:lastModifiedBy>Василевская Екатерина Даниловна</cp:lastModifiedBy>
  <cp:revision>13</cp:revision>
  <cp:lastPrinted>2018-05-23T09:35:00Z</cp:lastPrinted>
  <dcterms:created xsi:type="dcterms:W3CDTF">2018-05-23T03:01:00Z</dcterms:created>
  <dcterms:modified xsi:type="dcterms:W3CDTF">2018-05-30T04:54:00Z</dcterms:modified>
</cp:coreProperties>
</file>