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bookmarkStart w:id="0" w:name="_GoBack"/>
      <w:bookmarkEnd w:id="0"/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2423DD">
        <w:rPr>
          <w:sz w:val="24"/>
          <w:szCs w:val="24"/>
        </w:rPr>
        <w:t>7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2423DD">
        <w:rPr>
          <w:sz w:val="24"/>
          <w:szCs w:val="24"/>
        </w:rPr>
        <w:t>20</w:t>
      </w:r>
      <w:r w:rsidR="009D38D5" w:rsidRPr="00520170">
        <w:rPr>
          <w:sz w:val="24"/>
          <w:szCs w:val="24"/>
        </w:rPr>
        <w:t>.</w:t>
      </w:r>
      <w:r w:rsidR="00E74FAD">
        <w:rPr>
          <w:sz w:val="24"/>
          <w:szCs w:val="24"/>
        </w:rPr>
        <w:t>0</w:t>
      </w:r>
      <w:r w:rsidR="002423DD">
        <w:rPr>
          <w:sz w:val="24"/>
          <w:szCs w:val="24"/>
        </w:rPr>
        <w:t>9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 xml:space="preserve">И.Ю. </w:t>
      </w:r>
      <w:proofErr w:type="spellStart"/>
      <w:r w:rsidR="00A421A2">
        <w:rPr>
          <w:sz w:val="24"/>
          <w:szCs w:val="24"/>
        </w:rPr>
        <w:t>Жалонкина</w:t>
      </w:r>
      <w:proofErr w:type="spellEnd"/>
      <w:r w:rsidR="004602D9" w:rsidRPr="00520170">
        <w:rPr>
          <w:sz w:val="24"/>
          <w:szCs w:val="24"/>
        </w:rPr>
        <w:t>;</w:t>
      </w:r>
    </w:p>
    <w:p w:rsidR="00C67513" w:rsidRPr="00520170" w:rsidRDefault="003D7763" w:rsidP="00B5492E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F674E" w:rsidRDefault="007A6293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Н.К. Дайнеко</w:t>
      </w:r>
      <w:r w:rsidR="00FF674E">
        <w:rPr>
          <w:sz w:val="24"/>
          <w:szCs w:val="24"/>
        </w:rPr>
        <w:t>,</w:t>
      </w:r>
    </w:p>
    <w:p w:rsidR="00FF674E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Антони,</w:t>
      </w:r>
    </w:p>
    <w:p w:rsidR="007A6293" w:rsidRPr="00520170" w:rsidRDefault="00FF674E" w:rsidP="004923B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  <w:r w:rsidR="007A6293">
        <w:rPr>
          <w:sz w:val="24"/>
          <w:szCs w:val="24"/>
        </w:rPr>
        <w:t>.</w:t>
      </w:r>
    </w:p>
    <w:p w:rsidR="00BE6749" w:rsidRDefault="00BE6749" w:rsidP="004923BA">
      <w:pPr>
        <w:ind w:firstLine="567"/>
        <w:jc w:val="both"/>
        <w:rPr>
          <w:sz w:val="24"/>
          <w:szCs w:val="24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43052E" w:rsidRPr="006E3D65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4923BA">
      <w:pPr>
        <w:jc w:val="both"/>
        <w:rPr>
          <w:sz w:val="24"/>
          <w:szCs w:val="24"/>
          <w:u w:val="single"/>
        </w:rPr>
      </w:pPr>
    </w:p>
    <w:p w:rsidR="00B707AF" w:rsidRDefault="00B707AF" w:rsidP="004923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начальник организационно-аналитического отдела Вторушин Г.А</w:t>
      </w:r>
    </w:p>
    <w:p w:rsidR="00B707AF" w:rsidRDefault="00B707AF" w:rsidP="004923B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4923B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4923BA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4923B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E8707F" w:rsidRPr="00A37B2E" w:rsidRDefault="00E8707F" w:rsidP="00E8707F">
      <w:pPr>
        <w:shd w:val="clear" w:color="auto" w:fill="FFFFFF"/>
        <w:jc w:val="both"/>
        <w:rPr>
          <w:sz w:val="24"/>
          <w:szCs w:val="24"/>
        </w:rPr>
      </w:pPr>
      <w:r w:rsidRPr="00CD2A82">
        <w:rPr>
          <w:sz w:val="24"/>
          <w:szCs w:val="24"/>
        </w:rPr>
        <w:t xml:space="preserve">Рассмотрение </w:t>
      </w:r>
      <w:r w:rsidRPr="00A37B2E">
        <w:rPr>
          <w:sz w:val="24"/>
          <w:szCs w:val="24"/>
        </w:rPr>
        <w:t>проекта отчета о результатах экспертно-аналитического</w:t>
      </w:r>
      <w:r w:rsidRPr="007F389C">
        <w:rPr>
          <w:sz w:val="26"/>
          <w:szCs w:val="26"/>
        </w:rPr>
        <w:t xml:space="preserve"> </w:t>
      </w:r>
      <w:r w:rsidRPr="00A37B2E">
        <w:rPr>
          <w:sz w:val="24"/>
          <w:szCs w:val="24"/>
        </w:rPr>
        <w:t>мероприятия «Анализ влияния результатов проведенной кадастровой оценки земельных участков, расположенных на территории Томской области, на доходы консолидированного бюджета Томской области</w:t>
      </w:r>
      <w:r w:rsidR="00036209">
        <w:rPr>
          <w:sz w:val="24"/>
          <w:szCs w:val="24"/>
        </w:rPr>
        <w:t>»</w:t>
      </w:r>
      <w:r w:rsidRPr="00A37B2E">
        <w:rPr>
          <w:sz w:val="24"/>
          <w:szCs w:val="24"/>
        </w:rPr>
        <w:t>.</w:t>
      </w:r>
    </w:p>
    <w:p w:rsidR="00E8707F" w:rsidRDefault="00E8707F" w:rsidP="00E8707F">
      <w:pPr>
        <w:spacing w:line="288" w:lineRule="auto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>
        <w:rPr>
          <w:sz w:val="24"/>
          <w:szCs w:val="24"/>
        </w:rPr>
        <w:t>С.В. Антони</w:t>
      </w:r>
    </w:p>
    <w:p w:rsidR="001927EA" w:rsidRPr="00520170" w:rsidRDefault="001927EA" w:rsidP="00BE6749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43052E" w:rsidRPr="006E3D65">
        <w:rPr>
          <w:sz w:val="24"/>
          <w:szCs w:val="24"/>
        </w:rPr>
        <w:t>5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43052E">
      <w:pPr>
        <w:jc w:val="both"/>
        <w:rPr>
          <w:sz w:val="24"/>
          <w:szCs w:val="24"/>
        </w:rPr>
      </w:pPr>
    </w:p>
    <w:p w:rsidR="004602D9" w:rsidRDefault="007D0029" w:rsidP="004923B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BE6749" w:rsidRPr="00036209" w:rsidRDefault="0043052E" w:rsidP="0043052E">
      <w:pPr>
        <w:ind w:firstLine="567"/>
        <w:jc w:val="both"/>
        <w:rPr>
          <w:sz w:val="24"/>
          <w:szCs w:val="24"/>
        </w:rPr>
      </w:pPr>
      <w:r w:rsidRPr="00036209">
        <w:rPr>
          <w:sz w:val="24"/>
          <w:szCs w:val="24"/>
        </w:rPr>
        <w:t xml:space="preserve">С.В. Антони доложил о влиянии проведенной Администрацией Томской области кадастровой оценки земельных участков на доходы консолидированного бюджета Томской области, ее качестве и о межведомственном взаимодействии органов исполнительной власти по вопросу осуществления кадастровой оценки </w:t>
      </w:r>
      <w:r w:rsidR="00525EBA">
        <w:rPr>
          <w:sz w:val="24"/>
          <w:szCs w:val="24"/>
        </w:rPr>
        <w:t xml:space="preserve">и учету </w:t>
      </w:r>
      <w:r w:rsidRPr="00036209">
        <w:rPr>
          <w:sz w:val="24"/>
          <w:szCs w:val="24"/>
        </w:rPr>
        <w:t>земельных участков.</w:t>
      </w:r>
    </w:p>
    <w:p w:rsidR="00036209" w:rsidRPr="00036209" w:rsidRDefault="00036209" w:rsidP="00036209">
      <w:pPr>
        <w:ind w:firstLine="567"/>
        <w:jc w:val="both"/>
        <w:rPr>
          <w:sz w:val="24"/>
          <w:szCs w:val="24"/>
        </w:rPr>
      </w:pPr>
      <w:r w:rsidRPr="00036209">
        <w:rPr>
          <w:sz w:val="24"/>
          <w:szCs w:val="24"/>
        </w:rPr>
        <w:t xml:space="preserve">Аудитором отмечены, например, такие факты как неполнота базы данных информации, являющейся основой для кадастровой оценки, </w:t>
      </w:r>
      <w:proofErr w:type="spellStart"/>
      <w:r w:rsidRPr="00036209">
        <w:rPr>
          <w:sz w:val="24"/>
          <w:szCs w:val="24"/>
        </w:rPr>
        <w:t>недополучение</w:t>
      </w:r>
      <w:proofErr w:type="spellEnd"/>
      <w:r w:rsidRPr="00036209">
        <w:rPr>
          <w:sz w:val="24"/>
          <w:szCs w:val="24"/>
        </w:rPr>
        <w:t xml:space="preserve"> земельного налога вследствие занижения кадастровой стоимости земельных участков сегмента «Общественное использование», искажение оценщиком логики </w:t>
      </w:r>
      <w:r w:rsidR="006E3D65">
        <w:rPr>
          <w:sz w:val="24"/>
          <w:szCs w:val="24"/>
        </w:rPr>
        <w:t xml:space="preserve">применения методов </w:t>
      </w:r>
      <w:r w:rsidRPr="00036209">
        <w:rPr>
          <w:sz w:val="24"/>
          <w:szCs w:val="24"/>
        </w:rPr>
        <w:t xml:space="preserve">анализа рыночной стоимости объектов и совершение </w:t>
      </w:r>
      <w:r w:rsidRPr="00036209">
        <w:rPr>
          <w:bCs/>
          <w:sz w:val="24"/>
          <w:szCs w:val="24"/>
        </w:rPr>
        <w:t>технических ошибок при оценке, к примеру, учебных корпусов ВУЗов и общежитий</w:t>
      </w:r>
      <w:r w:rsidRPr="00036209">
        <w:rPr>
          <w:sz w:val="24"/>
          <w:szCs w:val="24"/>
        </w:rPr>
        <w:t xml:space="preserve">. </w:t>
      </w:r>
      <w:r w:rsidRPr="00036209">
        <w:rPr>
          <w:bCs/>
          <w:sz w:val="24"/>
          <w:szCs w:val="24"/>
        </w:rPr>
        <w:t xml:space="preserve">Сведения о правообладателях </w:t>
      </w:r>
      <w:r w:rsidR="006E3D65">
        <w:rPr>
          <w:bCs/>
          <w:sz w:val="24"/>
          <w:szCs w:val="24"/>
        </w:rPr>
        <w:t xml:space="preserve">значительной части </w:t>
      </w:r>
      <w:r w:rsidRPr="00036209">
        <w:rPr>
          <w:bCs/>
          <w:sz w:val="24"/>
          <w:szCs w:val="24"/>
        </w:rPr>
        <w:t>земельных участк</w:t>
      </w:r>
      <w:r w:rsidR="006E3D65">
        <w:rPr>
          <w:bCs/>
          <w:sz w:val="24"/>
          <w:szCs w:val="24"/>
        </w:rPr>
        <w:t>ов</w:t>
      </w:r>
      <w:r w:rsidRPr="00036209">
        <w:rPr>
          <w:bCs/>
          <w:sz w:val="24"/>
          <w:szCs w:val="24"/>
        </w:rPr>
        <w:t xml:space="preserve"> на территории Томской области, отсутствуют в налоговых органах</w:t>
      </w:r>
      <w:r>
        <w:rPr>
          <w:bCs/>
          <w:sz w:val="24"/>
          <w:szCs w:val="24"/>
        </w:rPr>
        <w:t>, а п</w:t>
      </w:r>
      <w:r w:rsidRPr="00036209">
        <w:rPr>
          <w:sz w:val="24"/>
          <w:szCs w:val="24"/>
        </w:rPr>
        <w:t>о 85,6% земельны</w:t>
      </w:r>
      <w:r>
        <w:rPr>
          <w:sz w:val="24"/>
          <w:szCs w:val="24"/>
        </w:rPr>
        <w:t>м</w:t>
      </w:r>
      <w:r w:rsidRPr="00036209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ам</w:t>
      </w:r>
      <w:r w:rsidRPr="00036209">
        <w:rPr>
          <w:sz w:val="24"/>
          <w:szCs w:val="24"/>
        </w:rPr>
        <w:t xml:space="preserve"> кадастровая стоимость изменилась в сторону увеличения, что является фактором, способствующим массовому оспариванию результатов оценки.</w:t>
      </w:r>
    </w:p>
    <w:p w:rsidR="00A87AA2" w:rsidRPr="007D7E8D" w:rsidRDefault="00886B29" w:rsidP="00886B29">
      <w:pPr>
        <w:ind w:firstLine="567"/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Члены коллегии обсудили проект </w:t>
      </w:r>
      <w:r w:rsidR="00036209">
        <w:rPr>
          <w:sz w:val="24"/>
          <w:szCs w:val="24"/>
        </w:rPr>
        <w:t>отчета</w:t>
      </w:r>
      <w:r w:rsidRPr="00C422F5">
        <w:rPr>
          <w:sz w:val="24"/>
          <w:szCs w:val="24"/>
        </w:rPr>
        <w:t xml:space="preserve"> и рекомендовали председателю </w:t>
      </w:r>
      <w:r w:rsidR="00036209">
        <w:rPr>
          <w:sz w:val="24"/>
          <w:szCs w:val="24"/>
        </w:rPr>
        <w:t>утвердить отчет с учетом предложенных корректировок</w:t>
      </w:r>
      <w:r w:rsidR="00A87AA2">
        <w:rPr>
          <w:sz w:val="24"/>
          <w:szCs w:val="24"/>
        </w:rPr>
        <w:t>.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036209">
        <w:rPr>
          <w:rFonts w:ascii="Times New Roman" w:hAnsi="Times New Roman" w:cs="Times New Roman"/>
          <w:sz w:val="24"/>
          <w:szCs w:val="24"/>
        </w:rPr>
        <w:t>5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0B08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3D63C9" w:rsidRDefault="003D63C9" w:rsidP="003D63C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40473" w:rsidRDefault="007441B7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910474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  <w:r w:rsidRPr="00520170">
        <w:rPr>
          <w:sz w:val="24"/>
          <w:szCs w:val="24"/>
        </w:rPr>
        <w:t>;</w:t>
      </w:r>
    </w:p>
    <w:p w:rsidR="00910474" w:rsidRPr="00520170" w:rsidRDefault="00910474" w:rsidP="004923BA">
      <w:pPr>
        <w:jc w:val="both"/>
        <w:rPr>
          <w:sz w:val="24"/>
          <w:szCs w:val="24"/>
        </w:rPr>
      </w:pPr>
    </w:p>
    <w:p w:rsidR="007A6ED6" w:rsidRPr="00520170" w:rsidRDefault="007A6ED6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4923BA">
      <w:pPr>
        <w:jc w:val="both"/>
        <w:rPr>
          <w:sz w:val="24"/>
          <w:szCs w:val="24"/>
        </w:rPr>
      </w:pPr>
    </w:p>
    <w:p w:rsidR="00C67513" w:rsidRPr="00520170" w:rsidRDefault="00C67513" w:rsidP="004923B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4923BA">
      <w:pPr>
        <w:jc w:val="both"/>
        <w:rPr>
          <w:sz w:val="24"/>
          <w:szCs w:val="24"/>
        </w:rPr>
      </w:pPr>
    </w:p>
    <w:p w:rsidR="007A6293" w:rsidRDefault="007A6293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Н.К. Дайнеко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Антони</w:t>
      </w:r>
    </w:p>
    <w:p w:rsidR="00FF674E" w:rsidRDefault="00FF674E" w:rsidP="007A6293">
      <w:pPr>
        <w:jc w:val="both"/>
        <w:rPr>
          <w:sz w:val="24"/>
          <w:szCs w:val="24"/>
        </w:rPr>
      </w:pPr>
    </w:p>
    <w:p w:rsidR="00FF674E" w:rsidRPr="00520170" w:rsidRDefault="00FF674E" w:rsidP="007A6293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D26CF1" w:rsidRPr="00520170" w:rsidRDefault="00D26CF1" w:rsidP="004923BA">
      <w:pPr>
        <w:jc w:val="both"/>
        <w:rPr>
          <w:b/>
          <w:sz w:val="24"/>
          <w:szCs w:val="24"/>
        </w:rPr>
      </w:pPr>
    </w:p>
    <w:sectPr w:rsidR="00D26CF1" w:rsidRPr="00520170" w:rsidSect="00A421A2">
      <w:headerReference w:type="default" r:id="rId8"/>
      <w:headerReference w:type="first" r:id="rId9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44D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C1444D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166EF7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9777E"/>
    <w:rsid w:val="003C3E34"/>
    <w:rsid w:val="003C6ED9"/>
    <w:rsid w:val="003D63C9"/>
    <w:rsid w:val="003D7763"/>
    <w:rsid w:val="003E1E19"/>
    <w:rsid w:val="003E3D95"/>
    <w:rsid w:val="00403F52"/>
    <w:rsid w:val="0043052E"/>
    <w:rsid w:val="00433662"/>
    <w:rsid w:val="004602D9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56061"/>
    <w:rsid w:val="00661108"/>
    <w:rsid w:val="00661EEC"/>
    <w:rsid w:val="006B7015"/>
    <w:rsid w:val="006D692B"/>
    <w:rsid w:val="006E3D65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7A89"/>
    <w:rsid w:val="008C19D8"/>
    <w:rsid w:val="008E27E9"/>
    <w:rsid w:val="008E434E"/>
    <w:rsid w:val="0090120B"/>
    <w:rsid w:val="00902142"/>
    <w:rsid w:val="00910474"/>
    <w:rsid w:val="009331B3"/>
    <w:rsid w:val="00950A02"/>
    <w:rsid w:val="0095107D"/>
    <w:rsid w:val="00964878"/>
    <w:rsid w:val="00985650"/>
    <w:rsid w:val="009945E9"/>
    <w:rsid w:val="00996244"/>
    <w:rsid w:val="009B5952"/>
    <w:rsid w:val="009C2596"/>
    <w:rsid w:val="009D38D5"/>
    <w:rsid w:val="009D69B2"/>
    <w:rsid w:val="009E444E"/>
    <w:rsid w:val="009F1CE9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46F7E"/>
    <w:rsid w:val="00B46F96"/>
    <w:rsid w:val="00B471D2"/>
    <w:rsid w:val="00B5492E"/>
    <w:rsid w:val="00B55196"/>
    <w:rsid w:val="00B60017"/>
    <w:rsid w:val="00B6750A"/>
    <w:rsid w:val="00B707AF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8707F"/>
    <w:rsid w:val="00ED4BFC"/>
    <w:rsid w:val="00EE2019"/>
    <w:rsid w:val="00F24329"/>
    <w:rsid w:val="00F8700F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21</cp:revision>
  <cp:lastPrinted>2023-10-05T03:30:00Z</cp:lastPrinted>
  <dcterms:created xsi:type="dcterms:W3CDTF">2023-05-23T03:09:00Z</dcterms:created>
  <dcterms:modified xsi:type="dcterms:W3CDTF">2023-10-05T03:44:00Z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