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C5" w:rsidRPr="00FC03C5" w:rsidRDefault="00FC03C5" w:rsidP="00FC03C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03C5">
        <w:rPr>
          <w:rFonts w:ascii="Times New Roman" w:hAnsi="Times New Roman" w:cs="Times New Roman"/>
          <w:b/>
          <w:sz w:val="24"/>
          <w:szCs w:val="24"/>
        </w:rPr>
        <w:t>Приложение  4</w:t>
      </w:r>
    </w:p>
    <w:p w:rsidR="00FC03C5" w:rsidRPr="00FC03C5" w:rsidRDefault="00FC03C5" w:rsidP="0061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3C5" w:rsidRDefault="00FC03C5" w:rsidP="00FC0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полугодии </w:t>
      </w:r>
      <w:r w:rsidR="008E4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года Контрольно-счетной палатой проведены предусмотренные планом работы экспертно-аналитические мероприятия по подготовке заключений на отчеты Администрации Томской области:</w:t>
      </w:r>
    </w:p>
    <w:p w:rsidR="00FC03C5" w:rsidRPr="00FC03C5" w:rsidRDefault="00FC03C5" w:rsidP="00FC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исполнении областного бюджета за 2021 год;</w:t>
      </w:r>
    </w:p>
    <w:p w:rsidR="00FC03C5" w:rsidRPr="00FC03C5" w:rsidRDefault="00FC03C5" w:rsidP="00FC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03C5">
        <w:rPr>
          <w:rFonts w:ascii="Times New Roman" w:hAnsi="Times New Roman" w:cs="Times New Roman"/>
          <w:sz w:val="24"/>
          <w:szCs w:val="24"/>
        </w:rPr>
        <w:t xml:space="preserve"> об исполнении бюджета Территориального фонда обязательного медицинского страхования Томской области за 2021 год;</w:t>
      </w:r>
    </w:p>
    <w:p w:rsidR="00FC03C5" w:rsidRPr="00FC03C5" w:rsidRDefault="00FC03C5" w:rsidP="00FC03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3C5">
        <w:rPr>
          <w:rFonts w:ascii="Times New Roman" w:hAnsi="Times New Roman" w:cs="Times New Roman"/>
          <w:sz w:val="24"/>
          <w:szCs w:val="24"/>
        </w:rPr>
        <w:t>-</w:t>
      </w:r>
      <w:r w:rsidRPr="00FC03C5">
        <w:rPr>
          <w:rFonts w:ascii="Times New Roman" w:hAnsi="Times New Roman" w:cs="Times New Roman"/>
          <w:bCs/>
          <w:sz w:val="24"/>
          <w:szCs w:val="24"/>
        </w:rPr>
        <w:t xml:space="preserve"> о результатах  управления и распоряжения областным государственным имуществом за 2021 год;</w:t>
      </w:r>
    </w:p>
    <w:p w:rsidR="00FC03C5" w:rsidRPr="00FC03C5" w:rsidRDefault="00FC03C5" w:rsidP="00FC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3C5">
        <w:rPr>
          <w:rFonts w:ascii="Times New Roman" w:hAnsi="Times New Roman" w:cs="Times New Roman"/>
          <w:bCs/>
          <w:sz w:val="24"/>
          <w:szCs w:val="24"/>
        </w:rPr>
        <w:t>- об</w:t>
      </w:r>
      <w:r w:rsidRPr="00FC03C5">
        <w:rPr>
          <w:rFonts w:ascii="Times New Roman" w:hAnsi="Times New Roman" w:cs="Times New Roman"/>
          <w:sz w:val="24"/>
          <w:szCs w:val="24"/>
        </w:rPr>
        <w:t xml:space="preserve"> аренде и безвозмездном пользовании областным государственным имуществом за 2021 год;</w:t>
      </w:r>
    </w:p>
    <w:p w:rsidR="00FC03C5" w:rsidRPr="00FC03C5" w:rsidRDefault="00FC03C5" w:rsidP="00FC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3C5">
        <w:rPr>
          <w:rFonts w:ascii="Times New Roman" w:hAnsi="Times New Roman" w:cs="Times New Roman"/>
          <w:sz w:val="24"/>
          <w:szCs w:val="24"/>
        </w:rPr>
        <w:t>- о деятельности областных государственных унитарных предприятий за 2021 год;</w:t>
      </w:r>
    </w:p>
    <w:p w:rsidR="00FC03C5" w:rsidRDefault="00FC03C5" w:rsidP="00FC0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3C5">
        <w:rPr>
          <w:rFonts w:ascii="Times New Roman" w:hAnsi="Times New Roman" w:cs="Times New Roman"/>
          <w:sz w:val="24"/>
          <w:szCs w:val="24"/>
        </w:rPr>
        <w:t>- об исполнении прогнозного плана (программы) приватизации  государственного имущества Томской области на 2021 год.</w:t>
      </w:r>
    </w:p>
    <w:p w:rsidR="00B622DC" w:rsidRDefault="00B622DC" w:rsidP="00AF2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подготовлено 14 заключений на проекты законов Томской области и 3 заключения на проекты постановлений Законодательной Думы Томской области.</w:t>
      </w:r>
    </w:p>
    <w:p w:rsidR="00AF2257" w:rsidRPr="00FC03C5" w:rsidRDefault="00B622DC" w:rsidP="00AF2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работы</w:t>
      </w:r>
      <w:r w:rsidR="00AF2257">
        <w:rPr>
          <w:rFonts w:ascii="Times New Roman" w:hAnsi="Times New Roman" w:cs="Times New Roman"/>
          <w:sz w:val="24"/>
          <w:szCs w:val="24"/>
        </w:rPr>
        <w:t xml:space="preserve"> проведены следующие </w:t>
      </w:r>
      <w:r>
        <w:rPr>
          <w:rFonts w:ascii="Times New Roman" w:hAnsi="Times New Roman" w:cs="Times New Roman"/>
          <w:sz w:val="24"/>
          <w:szCs w:val="24"/>
        </w:rPr>
        <w:t>тематически</w:t>
      </w:r>
      <w:r w:rsidR="00317C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57">
        <w:rPr>
          <w:rFonts w:ascii="Times New Roman" w:hAnsi="Times New Roman" w:cs="Times New Roman"/>
          <w:sz w:val="24"/>
          <w:szCs w:val="24"/>
        </w:rPr>
        <w:t>проверки.</w:t>
      </w:r>
    </w:p>
    <w:p w:rsidR="00FC03C5" w:rsidRDefault="00FC03C5" w:rsidP="0061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03F" w:rsidRPr="00663A34" w:rsidRDefault="008E47EF" w:rsidP="0061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42B90" w:rsidRPr="00663A34">
        <w:rPr>
          <w:rFonts w:ascii="Times New Roman" w:hAnsi="Times New Roman" w:cs="Times New Roman"/>
          <w:sz w:val="24"/>
          <w:szCs w:val="24"/>
        </w:rPr>
        <w:t>кспертно-аналитическое мероприятие</w:t>
      </w:r>
      <w:r w:rsidR="00442B90" w:rsidRPr="00663A34">
        <w:rPr>
          <w:rFonts w:ascii="Times New Roman" w:hAnsi="Times New Roman" w:cs="Times New Roman"/>
          <w:b/>
          <w:sz w:val="24"/>
          <w:szCs w:val="24"/>
        </w:rPr>
        <w:t xml:space="preserve"> «Анализ поступлений в  консолидированный бюджет Томской области от земельного налога в целях оценки достаточности и обоснованности финансовой поддержки бюджетов муниципальных образований, </w:t>
      </w:r>
      <w:r w:rsidR="00442B90" w:rsidRPr="00663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предоставляемой за 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чет средств областного бюджета»</w:t>
      </w:r>
    </w:p>
    <w:p w:rsidR="00442B90" w:rsidRPr="00663A34" w:rsidRDefault="00442B90" w:rsidP="006150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A34">
        <w:rPr>
          <w:rFonts w:ascii="Times New Roman" w:hAnsi="Times New Roman" w:cs="Times New Roman"/>
          <w:sz w:val="24"/>
          <w:szCs w:val="24"/>
        </w:rPr>
        <w:t>В ходе проведения экспертно-аналитического мероприятия:</w:t>
      </w:r>
    </w:p>
    <w:p w:rsidR="00442B90" w:rsidRPr="00663A34" w:rsidRDefault="00442B90" w:rsidP="0061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34">
        <w:rPr>
          <w:rFonts w:ascii="Times New Roman" w:hAnsi="Times New Roman" w:cs="Times New Roman"/>
          <w:sz w:val="24"/>
          <w:szCs w:val="24"/>
        </w:rPr>
        <w:t xml:space="preserve">- проанализированы действия </w:t>
      </w:r>
      <w:hyperlink r:id="rId7" w:history="1">
        <w:r w:rsidRPr="00663A34">
          <w:rPr>
            <w:rFonts w:ascii="Times New Roman" w:hAnsi="Times New Roman" w:cs="Times New Roman"/>
            <w:sz w:val="24"/>
            <w:szCs w:val="24"/>
          </w:rPr>
          <w:t>администраций Асиновского и Колпашевского районов, городского округа Город Томск, ЗАТО Северск по</w:t>
        </w:r>
      </w:hyperlink>
      <w:r w:rsidRPr="00663A34">
        <w:rPr>
          <w:rFonts w:ascii="Times New Roman" w:hAnsi="Times New Roman" w:cs="Times New Roman"/>
          <w:sz w:val="24"/>
          <w:szCs w:val="24"/>
        </w:rPr>
        <w:t xml:space="preserve"> вопросам принятия нормативных и распорядительных документов об установлении земельно</w:t>
      </w:r>
      <w:r w:rsidR="008E47EF">
        <w:rPr>
          <w:rFonts w:ascii="Times New Roman" w:hAnsi="Times New Roman" w:cs="Times New Roman"/>
          <w:sz w:val="24"/>
          <w:szCs w:val="24"/>
        </w:rPr>
        <w:t>го налога, льгот по нему, а так</w:t>
      </w:r>
      <w:r w:rsidRPr="00663A34">
        <w:rPr>
          <w:rFonts w:ascii="Times New Roman" w:hAnsi="Times New Roman" w:cs="Times New Roman"/>
          <w:sz w:val="24"/>
          <w:szCs w:val="24"/>
        </w:rPr>
        <w:t>же по организации ими порядка работы</w:t>
      </w:r>
      <w:r w:rsidRPr="0066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осуществлению земельного контроля;  </w:t>
      </w:r>
    </w:p>
    <w:p w:rsidR="00442B90" w:rsidRPr="00663A34" w:rsidRDefault="00442B90" w:rsidP="0061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34">
        <w:rPr>
          <w:rFonts w:ascii="Times New Roman" w:hAnsi="Times New Roman" w:cs="Times New Roman"/>
          <w:sz w:val="24"/>
          <w:szCs w:val="24"/>
        </w:rPr>
        <w:t xml:space="preserve">- проанализированы действия администраций муниципальных образований и органов государственного земельного надзора при проведении земельного контроля, </w:t>
      </w:r>
      <w:r w:rsidRPr="0066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определены </w:t>
      </w:r>
      <w:r w:rsidRPr="00663A34">
        <w:rPr>
          <w:rFonts w:ascii="Times New Roman" w:hAnsi="Times New Roman" w:cs="Times New Roman"/>
          <w:sz w:val="24"/>
          <w:szCs w:val="24"/>
        </w:rPr>
        <w:t xml:space="preserve">результаты земельного контроля; </w:t>
      </w:r>
    </w:p>
    <w:p w:rsidR="00442B90" w:rsidRPr="00663A34" w:rsidRDefault="00442B90" w:rsidP="0061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A34">
        <w:rPr>
          <w:rFonts w:ascii="Times New Roman" w:hAnsi="Times New Roman" w:cs="Times New Roman"/>
          <w:sz w:val="24"/>
          <w:szCs w:val="24"/>
        </w:rPr>
        <w:t xml:space="preserve">- проанализировано межведомственное взаимодействие органов исполнительной власти по вопросам осуществления земельного контроля; </w:t>
      </w:r>
    </w:p>
    <w:p w:rsidR="00442B90" w:rsidRPr="00663A34" w:rsidRDefault="00442B90" w:rsidP="006150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A34">
        <w:rPr>
          <w:rFonts w:ascii="Times New Roman" w:hAnsi="Times New Roman" w:cs="Times New Roman"/>
          <w:sz w:val="24"/>
          <w:szCs w:val="24"/>
        </w:rPr>
        <w:t>- дана оценка возможности повышения результативности дейст</w:t>
      </w:r>
      <w:r w:rsidR="008E47EF">
        <w:rPr>
          <w:rFonts w:ascii="Times New Roman" w:hAnsi="Times New Roman" w:cs="Times New Roman"/>
          <w:sz w:val="24"/>
          <w:szCs w:val="24"/>
        </w:rPr>
        <w:t>вий органов земельного контроля</w:t>
      </w:r>
      <w:r w:rsidRPr="00663A34">
        <w:rPr>
          <w:rFonts w:ascii="Times New Roman" w:hAnsi="Times New Roman" w:cs="Times New Roman"/>
          <w:sz w:val="24"/>
          <w:szCs w:val="24"/>
        </w:rPr>
        <w:t xml:space="preserve"> и оценка возможности повышения доходов местных бюджетов по земельному налогу.</w:t>
      </w:r>
    </w:p>
    <w:p w:rsidR="00642A42" w:rsidRPr="00663A34" w:rsidRDefault="00642A42" w:rsidP="006150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A34">
        <w:rPr>
          <w:rFonts w:ascii="Times New Roman" w:hAnsi="Times New Roman" w:cs="Times New Roman"/>
          <w:b/>
          <w:sz w:val="24"/>
          <w:szCs w:val="24"/>
        </w:rPr>
        <w:t xml:space="preserve">      Итоговые выводы:</w:t>
      </w:r>
    </w:p>
    <w:p w:rsidR="00642A42" w:rsidRPr="00663A34" w:rsidRDefault="00642A42" w:rsidP="0061504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Style w:val="FontStyle29"/>
          <w:b/>
          <w:sz w:val="24"/>
        </w:rPr>
      </w:pPr>
      <w:r w:rsidRPr="00663A34">
        <w:rPr>
          <w:rStyle w:val="FontStyle29"/>
          <w:sz w:val="24"/>
        </w:rPr>
        <w:t>В 2021 году в Управление Росреестра по Томской области не поступил ни один материал от органов муниципального земельного контроля в следующих городах и районах области: городские округа «Город Стрежевой» и «Город Кедровый», Александровский, Парабельский, Каргасокский, Зырянский, Тегульдетский и Бакчарский районы.</w:t>
      </w:r>
    </w:p>
    <w:p w:rsidR="00642A42" w:rsidRPr="00663A34" w:rsidRDefault="00642A42" w:rsidP="00615045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A34">
        <w:rPr>
          <w:rFonts w:ascii="Times New Roman" w:hAnsi="Times New Roman" w:cs="Times New Roman"/>
          <w:sz w:val="24"/>
          <w:szCs w:val="24"/>
        </w:rPr>
        <w:t xml:space="preserve">Планы муниципальных образований Томской области проведения плановых проверок </w:t>
      </w:r>
      <w:r w:rsidR="008E47EF">
        <w:rPr>
          <w:rFonts w:ascii="Times New Roman" w:hAnsi="Times New Roman" w:cs="Times New Roman"/>
          <w:sz w:val="24"/>
          <w:szCs w:val="24"/>
        </w:rPr>
        <w:t xml:space="preserve"> </w:t>
      </w:r>
      <w:r w:rsidRPr="00663A34">
        <w:rPr>
          <w:rFonts w:ascii="Times New Roman" w:hAnsi="Times New Roman" w:cs="Times New Roman"/>
          <w:sz w:val="24"/>
          <w:szCs w:val="24"/>
        </w:rPr>
        <w:t>юридических лиц и  индивидуальных предпринимателей в исследуемом периоде в Сибирское межрегиональное управление Росприроднадзора на согласование не поступали. В 2021 году Управлением согласован план проведения плановых проверок только Томского района.</w:t>
      </w:r>
    </w:p>
    <w:p w:rsidR="00642A42" w:rsidRPr="00663A34" w:rsidRDefault="00642A42" w:rsidP="0061504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663A34">
        <w:t>Актов проверок муниципального земельного контроля от органов местного самоуправления в Управление Россельхознадзора по Томской области в 2020 и в 2021 годах не поступало.</w:t>
      </w:r>
    </w:p>
    <w:p w:rsidR="00642A42" w:rsidRPr="00663A34" w:rsidRDefault="00642A42" w:rsidP="0061504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663A34">
        <w:lastRenderedPageBreak/>
        <w:t xml:space="preserve">Количество проверок, проводимых в отношении юридических лиц и индивидуальных предпринимателей, по рассматриваемым в </w:t>
      </w:r>
      <w:r w:rsidR="008E47EF">
        <w:t xml:space="preserve">ходе проверки </w:t>
      </w:r>
      <w:r w:rsidRPr="00663A34">
        <w:t xml:space="preserve">муниципальным образованиям незначительно. Достаточно значимое количество сельских поселений не осуществляют муниципальный земельный контроль. </w:t>
      </w:r>
    </w:p>
    <w:p w:rsidR="000544AE" w:rsidRPr="002761CB" w:rsidRDefault="000544AE" w:rsidP="00615045">
      <w:pPr>
        <w:pStyle w:val="a3"/>
        <w:tabs>
          <w:tab w:val="left" w:pos="993"/>
        </w:tabs>
        <w:ind w:left="0" w:firstLine="567"/>
        <w:jc w:val="both"/>
        <w:rPr>
          <w:b/>
        </w:rPr>
      </w:pPr>
      <w:r w:rsidRPr="002761CB">
        <w:rPr>
          <w:b/>
        </w:rPr>
        <w:t>Выявлены резервы доходов бюджета  по земельному налогу</w:t>
      </w:r>
      <w:r w:rsidR="00663A34" w:rsidRPr="002761CB">
        <w:rPr>
          <w:b/>
        </w:rPr>
        <w:t>:</w:t>
      </w:r>
    </w:p>
    <w:p w:rsidR="000544AE" w:rsidRPr="00663A34" w:rsidRDefault="000544AE" w:rsidP="00615045">
      <w:pPr>
        <w:pStyle w:val="a3"/>
        <w:tabs>
          <w:tab w:val="left" w:pos="993"/>
        </w:tabs>
        <w:ind w:left="0" w:firstLine="567"/>
        <w:jc w:val="both"/>
      </w:pPr>
      <w:r w:rsidRPr="00663A34">
        <w:t>- по землям сельскохозяйственного назначения на суммы</w:t>
      </w:r>
      <w:r w:rsidRPr="00663A34">
        <w:rPr>
          <w:b/>
        </w:rPr>
        <w:t xml:space="preserve"> от 9,1 млн. руб. до 12,4 млн. руб. </w:t>
      </w:r>
      <w:r w:rsidRPr="00663A34">
        <w:t>ежегодно;</w:t>
      </w:r>
    </w:p>
    <w:p w:rsidR="000544AE" w:rsidRPr="00663A34" w:rsidRDefault="000544AE" w:rsidP="0061504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4"/>
        </w:rPr>
      </w:pPr>
      <w:r w:rsidRPr="00663A34">
        <w:rPr>
          <w:rFonts w:ascii="Times New Roman" w:hAnsi="Times New Roman" w:cs="Times New Roman"/>
          <w:sz w:val="24"/>
        </w:rPr>
        <w:t>- по</w:t>
      </w:r>
      <w:r w:rsidRPr="00663A34">
        <w:rPr>
          <w:rFonts w:ascii="Times New Roman" w:hAnsi="Times New Roman" w:cs="Times New Roman"/>
          <w:iCs/>
          <w:sz w:val="24"/>
        </w:rPr>
        <w:t xml:space="preserve"> земельным участкам, кадастровая стоимость которых в </w:t>
      </w:r>
      <w:r w:rsidR="00FF3C2B" w:rsidRPr="00663A34">
        <w:rPr>
          <w:rFonts w:ascii="Times New Roman" w:hAnsi="Times New Roman" w:cs="Times New Roman"/>
          <w:iCs/>
          <w:sz w:val="24"/>
        </w:rPr>
        <w:t>едином государственном реестре</w:t>
      </w:r>
      <w:r w:rsidRPr="00663A34">
        <w:rPr>
          <w:rFonts w:ascii="Times New Roman" w:hAnsi="Times New Roman" w:cs="Times New Roman"/>
          <w:iCs/>
          <w:sz w:val="24"/>
        </w:rPr>
        <w:t xml:space="preserve"> ранее была не определена</w:t>
      </w:r>
      <w:r w:rsidR="008E47EF">
        <w:rPr>
          <w:rFonts w:ascii="Times New Roman" w:hAnsi="Times New Roman" w:cs="Times New Roman"/>
          <w:iCs/>
          <w:sz w:val="24"/>
        </w:rPr>
        <w:t>,</w:t>
      </w:r>
      <w:r w:rsidRPr="00663A34">
        <w:rPr>
          <w:rFonts w:ascii="Times New Roman" w:hAnsi="Times New Roman" w:cs="Times New Roman"/>
          <w:iCs/>
          <w:sz w:val="24"/>
        </w:rPr>
        <w:t xml:space="preserve"> -</w:t>
      </w:r>
      <w:r w:rsidRPr="00663A34">
        <w:rPr>
          <w:rFonts w:ascii="Times New Roman" w:hAnsi="Times New Roman" w:cs="Times New Roman"/>
          <w:sz w:val="24"/>
        </w:rPr>
        <w:t xml:space="preserve"> </w:t>
      </w:r>
      <w:r w:rsidRPr="00663A34">
        <w:rPr>
          <w:rFonts w:ascii="Times New Roman" w:hAnsi="Times New Roman" w:cs="Times New Roman"/>
          <w:b/>
          <w:sz w:val="24"/>
        </w:rPr>
        <w:t>94,0 млн. руб</w:t>
      </w:r>
      <w:r w:rsidRPr="00663A34">
        <w:rPr>
          <w:rFonts w:ascii="Times New Roman" w:hAnsi="Times New Roman" w:cs="Times New Roman"/>
          <w:sz w:val="24"/>
        </w:rPr>
        <w:t>.;</w:t>
      </w:r>
    </w:p>
    <w:p w:rsidR="00442B90" w:rsidRDefault="000544AE" w:rsidP="0061504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4"/>
        </w:rPr>
      </w:pPr>
      <w:r w:rsidRPr="00663A34">
        <w:rPr>
          <w:rFonts w:ascii="Times New Roman" w:hAnsi="Times New Roman" w:cs="Times New Roman"/>
          <w:sz w:val="24"/>
        </w:rPr>
        <w:t xml:space="preserve">- по величине вреда, причиненного почвам земель сельскохозяйственного назначения как природному объекту, на сумму от </w:t>
      </w:r>
      <w:r w:rsidR="008E47EF">
        <w:rPr>
          <w:rFonts w:ascii="Times New Roman" w:hAnsi="Times New Roman" w:cs="Times New Roman"/>
          <w:b/>
          <w:sz w:val="24"/>
        </w:rPr>
        <w:t>5,1</w:t>
      </w:r>
      <w:r w:rsidRPr="00663A34">
        <w:rPr>
          <w:rFonts w:ascii="Times New Roman" w:hAnsi="Times New Roman" w:cs="Times New Roman"/>
          <w:b/>
          <w:sz w:val="24"/>
        </w:rPr>
        <w:t xml:space="preserve"> млн. руб. до 22,6 млн. руб</w:t>
      </w:r>
      <w:r w:rsidRPr="00663A34">
        <w:rPr>
          <w:rFonts w:ascii="Times New Roman" w:hAnsi="Times New Roman" w:cs="Times New Roman"/>
          <w:sz w:val="24"/>
        </w:rPr>
        <w:t xml:space="preserve">. ежегодно.  </w:t>
      </w:r>
    </w:p>
    <w:p w:rsidR="00DD1BB9" w:rsidRDefault="00DD1BB9" w:rsidP="0061504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4"/>
        </w:rPr>
      </w:pPr>
    </w:p>
    <w:p w:rsidR="00637278" w:rsidRPr="00637278" w:rsidRDefault="00637278" w:rsidP="00637278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637278">
        <w:rPr>
          <w:rFonts w:ascii="Times New Roman" w:eastAsia="Calibri" w:hAnsi="Times New Roman" w:cs="Times New Roman"/>
          <w:sz w:val="24"/>
          <w:szCs w:val="24"/>
        </w:rPr>
        <w:t>онтрольное мероприятие</w:t>
      </w:r>
      <w:r w:rsidRPr="00637278">
        <w:rPr>
          <w:rFonts w:ascii="Times New Roman" w:eastAsia="Calibri" w:hAnsi="Times New Roman" w:cs="Times New Roman"/>
          <w:b/>
          <w:sz w:val="24"/>
          <w:szCs w:val="24"/>
        </w:rPr>
        <w:t xml:space="preserve"> «Проверка использования бюджетных средств, направленных в 2020-2021 годах на предоставление субсидий некоммерческой организации «Фонд развития бизнеса» для компенсации субъектам малого и среднего предпринимательства в условиях распространения новой коронавирусной инфекции»</w:t>
      </w:r>
      <w:r>
        <w:rPr>
          <w:rFonts w:ascii="Times New Roman" w:eastAsia="Calibri" w:hAnsi="Times New Roman" w:cs="Times New Roman"/>
          <w:sz w:val="24"/>
          <w:szCs w:val="24"/>
        </w:rPr>
        <w:t>. О</w:t>
      </w:r>
      <w:r w:rsidRPr="00637278">
        <w:rPr>
          <w:rFonts w:ascii="Times New Roman" w:eastAsia="Calibri" w:hAnsi="Times New Roman" w:cs="Times New Roman"/>
          <w:sz w:val="24"/>
          <w:szCs w:val="24"/>
        </w:rPr>
        <w:t>существлена проверка использования средств субсидий из областного бюджета в общей сумме 37,3 млн.руб., предоставленных некоммерческой организации «Фонд развития бизнеса»</w:t>
      </w:r>
      <w:r w:rsidRPr="006372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7278">
        <w:rPr>
          <w:rFonts w:ascii="Times New Roman" w:eastAsia="Calibri" w:hAnsi="Times New Roman" w:cs="Times New Roman"/>
          <w:sz w:val="24"/>
          <w:szCs w:val="24"/>
        </w:rPr>
        <w:t xml:space="preserve">(далее - Фонд) по 4 соглашениям, из них: 36,8 млн.руб. - для предоставления компенсации фактически понесенных и документально подтвержденных субъектами МСП расходов по оплате коммунальных услуг; 0,5 млн.руб. - для оплаты услуг сторонних организаций, осуществлявших непосредственное рассмотрение заявок и подтверждающих документов субъектов МСП. </w:t>
      </w:r>
    </w:p>
    <w:p w:rsidR="00637278" w:rsidRPr="00637278" w:rsidRDefault="00637278" w:rsidP="006372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27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372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 средств субсидий, предоставленных из областного бюджета в 2020-2021 годах </w:t>
      </w:r>
      <w:r w:rsidRPr="00637278">
        <w:rPr>
          <w:rFonts w:ascii="Times New Roman" w:eastAsia="Calibri" w:hAnsi="Times New Roman" w:cs="Times New Roman"/>
          <w:sz w:val="24"/>
          <w:szCs w:val="24"/>
        </w:rPr>
        <w:t>в</w:t>
      </w:r>
      <w:r w:rsidRPr="006372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общей </w:t>
      </w:r>
      <w:r w:rsidRPr="00637278">
        <w:rPr>
          <w:rFonts w:ascii="Times New Roman" w:eastAsia="Calibri" w:hAnsi="Times New Roman" w:cs="Times New Roman"/>
          <w:sz w:val="24"/>
          <w:szCs w:val="24"/>
        </w:rPr>
        <w:t xml:space="preserve">сумме 36,8 млн.руб., </w:t>
      </w:r>
      <w:r w:rsidRPr="006372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Фондом </w:t>
      </w:r>
      <w:r w:rsidRPr="00637278">
        <w:rPr>
          <w:rFonts w:ascii="Times New Roman" w:eastAsia="Calibri" w:hAnsi="Times New Roman" w:cs="Times New Roman"/>
          <w:sz w:val="24"/>
          <w:szCs w:val="24"/>
        </w:rPr>
        <w:t>возмещены расходы по оплате коммунальных услуг субъектам МСП в сумме 4,4 млн.руб. с несоблюдением Порядка предоставления субсидий и при неподтверждении полным пакетом требуемых документов. Установлен</w:t>
      </w:r>
      <w:r w:rsidRPr="006372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7278">
        <w:rPr>
          <w:rFonts w:ascii="Times New Roman" w:eastAsia="Calibri" w:hAnsi="Times New Roman" w:cs="Times New Roman"/>
          <w:sz w:val="24"/>
          <w:szCs w:val="24"/>
        </w:rPr>
        <w:t>также ряд замечаний, указывающих на то, что Порядком предоставления субсидий не был предусмотрен ряд положений.</w:t>
      </w:r>
    </w:p>
    <w:p w:rsidR="00637278" w:rsidRPr="00637278" w:rsidRDefault="00637278" w:rsidP="00637278">
      <w:pPr>
        <w:tabs>
          <w:tab w:val="left" w:pos="567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278">
        <w:rPr>
          <w:rFonts w:ascii="Times New Roman" w:eastAsia="Calibri" w:hAnsi="Times New Roman" w:cs="Times New Roman"/>
          <w:sz w:val="24"/>
          <w:szCs w:val="24"/>
        </w:rPr>
        <w:tab/>
        <w:t>Департаментом</w:t>
      </w:r>
      <w:r w:rsidRPr="00637278">
        <w:rPr>
          <w:rFonts w:ascii="Times New Roman" w:eastAsia="Calibri" w:hAnsi="Times New Roman" w:cs="Times New Roman"/>
          <w:bCs/>
          <w:sz w:val="24"/>
          <w:szCs w:val="24"/>
        </w:rPr>
        <w:t xml:space="preserve"> по развитию инновационной и предпринимательской деятельности</w:t>
      </w:r>
      <w:r w:rsidRPr="00637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2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не осуществлялся должный контроль соблюдения получателем субсидий порядка и условий предоставления субсидий на реализацию мероприятия по п</w:t>
      </w:r>
      <w:r w:rsidRPr="00637278">
        <w:rPr>
          <w:rFonts w:ascii="Times New Roman" w:eastAsia="Calibri" w:hAnsi="Times New Roman" w:cs="Times New Roman"/>
          <w:sz w:val="24"/>
          <w:szCs w:val="24"/>
        </w:rPr>
        <w:t xml:space="preserve">редоставлению </w:t>
      </w:r>
      <w:r w:rsidRPr="00637278">
        <w:rPr>
          <w:rFonts w:ascii="Times New Roman" w:eastAsia="Calibri" w:hAnsi="Times New Roman" w:cs="Times New Roman"/>
          <w:bCs/>
          <w:sz w:val="24"/>
          <w:szCs w:val="24"/>
        </w:rPr>
        <w:t>компенсации расходов субъектам МСП в условиях распространения коронавирусной инфекции,</w:t>
      </w:r>
      <w:r w:rsidRPr="006372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предусмотренный бюджетным законодательством (</w:t>
      </w:r>
      <w:r w:rsidRPr="00637278">
        <w:rPr>
          <w:rFonts w:ascii="Times New Roman" w:eastAsia="Calibri" w:hAnsi="Times New Roman" w:cs="Times New Roman"/>
          <w:iCs/>
          <w:sz w:val="24"/>
          <w:szCs w:val="24"/>
        </w:rPr>
        <w:t>Порядком предоставления субсидий</w:t>
      </w:r>
      <w:r w:rsidRPr="006372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) и </w:t>
      </w:r>
      <w:r w:rsidRPr="00637278">
        <w:rPr>
          <w:rFonts w:ascii="Times New Roman" w:eastAsia="Calibri" w:hAnsi="Times New Roman" w:cs="Times New Roman"/>
          <w:iCs/>
          <w:sz w:val="24"/>
          <w:szCs w:val="24"/>
        </w:rPr>
        <w:t xml:space="preserve">заключенными с </w:t>
      </w:r>
      <w:r w:rsidR="002761CB">
        <w:rPr>
          <w:rFonts w:ascii="Times New Roman" w:eastAsia="Calibri" w:hAnsi="Times New Roman" w:cs="Times New Roman"/>
          <w:iCs/>
          <w:sz w:val="24"/>
          <w:szCs w:val="24"/>
        </w:rPr>
        <w:t xml:space="preserve">Фондом </w:t>
      </w:r>
      <w:r w:rsidRPr="00637278">
        <w:rPr>
          <w:rFonts w:ascii="Times New Roman" w:eastAsia="Calibri" w:hAnsi="Times New Roman" w:cs="Times New Roman"/>
          <w:iCs/>
          <w:sz w:val="24"/>
          <w:szCs w:val="24"/>
        </w:rPr>
        <w:t>соглашениями</w:t>
      </w:r>
      <w:r w:rsidRPr="006372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Кроме того, отсутствовал контроль за достоверностью </w:t>
      </w:r>
      <w:r w:rsidRPr="00637278">
        <w:rPr>
          <w:rFonts w:ascii="Times New Roman" w:eastAsia="Calibri" w:hAnsi="Times New Roman" w:cs="Times New Roman"/>
          <w:sz w:val="24"/>
          <w:szCs w:val="24"/>
        </w:rPr>
        <w:t xml:space="preserve">обоснования требуемых объемов субсидий на 2020 год в целях предоставления компенсации расходов субъектам МСП и в целях оплаты услуг контрагента, осуществлявшего непосредственное рассмотрение документов субъектов МСП, </w:t>
      </w:r>
      <w:r w:rsidRPr="00637278">
        <w:rPr>
          <w:rFonts w:ascii="Times New Roman" w:eastAsia="Calibri" w:hAnsi="Times New Roman" w:cs="Times New Roman"/>
          <w:sz w:val="24"/>
          <w:szCs w:val="24"/>
          <w:lang w:eastAsia="ar-SA"/>
        </w:rPr>
        <w:t>что привело к завышению размеров указанных субсидий от 2 до 10 раз.</w:t>
      </w:r>
      <w:r w:rsidRPr="006372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7278" w:rsidRPr="00637278" w:rsidRDefault="00637278" w:rsidP="006372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278">
        <w:rPr>
          <w:rFonts w:ascii="Times New Roman" w:eastAsia="Calibri" w:hAnsi="Times New Roman" w:cs="Times New Roman"/>
          <w:sz w:val="24"/>
          <w:szCs w:val="24"/>
        </w:rPr>
        <w:tab/>
        <w:t>Результаты контрольного мероприятия рассмотрены на совместном совещании Контрольно-счетной палаты,</w:t>
      </w:r>
      <w:r w:rsidRPr="006372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7278">
        <w:rPr>
          <w:rFonts w:ascii="Times New Roman" w:eastAsia="Calibri" w:hAnsi="Times New Roman" w:cs="Times New Roman"/>
          <w:sz w:val="24"/>
          <w:szCs w:val="24"/>
        </w:rPr>
        <w:t>Департамента</w:t>
      </w:r>
      <w:r w:rsidRPr="00637278">
        <w:rPr>
          <w:rFonts w:ascii="Times New Roman" w:eastAsia="Calibri" w:hAnsi="Times New Roman" w:cs="Times New Roman"/>
          <w:bCs/>
          <w:sz w:val="24"/>
          <w:szCs w:val="24"/>
        </w:rPr>
        <w:t xml:space="preserve"> по развитию инновационной и предпринимательской деятельности Томской области и</w:t>
      </w:r>
      <w:r w:rsidR="002761CB">
        <w:rPr>
          <w:rFonts w:ascii="Times New Roman" w:eastAsia="Calibri" w:hAnsi="Times New Roman" w:cs="Times New Roman"/>
          <w:sz w:val="24"/>
          <w:szCs w:val="24"/>
        </w:rPr>
        <w:t xml:space="preserve"> Фонда</w:t>
      </w:r>
      <w:r w:rsidRPr="0063727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37278" w:rsidRPr="00637278" w:rsidRDefault="00637278" w:rsidP="006372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278">
        <w:rPr>
          <w:rFonts w:ascii="Times New Roman" w:eastAsia="Calibri" w:hAnsi="Times New Roman" w:cs="Times New Roman"/>
          <w:b/>
          <w:spacing w:val="-6"/>
          <w:sz w:val="24"/>
          <w:szCs w:val="24"/>
        </w:rPr>
        <w:tab/>
      </w:r>
      <w:r w:rsidRPr="00637278">
        <w:rPr>
          <w:rFonts w:ascii="Times New Roman" w:eastAsia="Calibri" w:hAnsi="Times New Roman" w:cs="Times New Roman"/>
          <w:b/>
          <w:sz w:val="24"/>
          <w:szCs w:val="24"/>
        </w:rPr>
        <w:t>Предложено:</w:t>
      </w:r>
    </w:p>
    <w:p w:rsidR="00637278" w:rsidRPr="00637278" w:rsidRDefault="00637278" w:rsidP="00637278">
      <w:pPr>
        <w:tabs>
          <w:tab w:val="left" w:pos="567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27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 xml:space="preserve">Департаменту </w:t>
      </w:r>
      <w:r w:rsidRPr="00637278">
        <w:rPr>
          <w:rFonts w:ascii="Times New Roman" w:eastAsia="Calibri" w:hAnsi="Times New Roman" w:cs="Times New Roman"/>
          <w:bCs/>
          <w:sz w:val="24"/>
          <w:szCs w:val="24"/>
        </w:rPr>
        <w:t xml:space="preserve">по развитию инновационной и предпринимательской деятельности рассмотреть вопрос об исключении многоступенчатого порядка финансирования, осуществляемого через некоммерческие организации (Фонд развития бизнеса, который непосредственно сам не оказывал услугу, а заключал договоры с контрагентами, осуществлявшими рассмотрение документов субъектов МСП для предоставления им компенсации расходов на коммунальные услуги), приводящего к уходу от соблюдения требований законодательства о контрактной системе в сфере закупок товаров, работ, услуг для обеспечения государственных и муниципальных нужд и к неэффективным расходам </w:t>
      </w:r>
      <w:r w:rsidRPr="0063727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государственных средств на содержание посредников. Рекомендовано проводить более осмотрительный анализ документов, предоставляемых организациями на получение субсидий, особенно в части экономических обоснований требуемых объемов субсидий. Учесть замечания и предложения палаты при актуализации Порядка предоставления из областного бюджета субсидий </w:t>
      </w:r>
      <w:r w:rsidRPr="00637278">
        <w:rPr>
          <w:rFonts w:ascii="Times New Roman" w:eastAsia="Calibri" w:hAnsi="Times New Roman" w:cs="Times New Roman"/>
          <w:sz w:val="24"/>
          <w:szCs w:val="24"/>
        </w:rPr>
        <w:t>на финансовое обеспечение затрат, связанных с</w:t>
      </w:r>
      <w:r w:rsidRPr="006372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37278">
        <w:rPr>
          <w:rFonts w:ascii="Times New Roman" w:eastAsia="Calibri" w:hAnsi="Times New Roman" w:cs="Times New Roman"/>
          <w:sz w:val="24"/>
          <w:szCs w:val="24"/>
        </w:rPr>
        <w:t>предоставлением компенсации расходов субъектам МСП, в том числе арендующим помещения для осуществления деятельности.</w:t>
      </w:r>
    </w:p>
    <w:p w:rsidR="00637278" w:rsidRPr="00637278" w:rsidRDefault="00637278" w:rsidP="00637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278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2761CB">
        <w:rPr>
          <w:rFonts w:ascii="Times New Roman" w:eastAsia="Calibri" w:hAnsi="Times New Roman" w:cs="Times New Roman"/>
          <w:sz w:val="24"/>
          <w:szCs w:val="24"/>
        </w:rPr>
        <w:t>ответу Администрации Томской области,</w:t>
      </w:r>
      <w:r w:rsidRPr="00637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278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637278">
        <w:rPr>
          <w:rFonts w:ascii="Times New Roman" w:eastAsia="Calibri" w:hAnsi="Times New Roman" w:cs="Times New Roman"/>
          <w:sz w:val="24"/>
          <w:szCs w:val="24"/>
        </w:rPr>
        <w:t>амечания и предложения палаты приняты к сведению и учтены в работе Департаментом и</w:t>
      </w:r>
      <w:r w:rsidR="002761CB">
        <w:rPr>
          <w:rFonts w:ascii="Times New Roman" w:eastAsia="Calibri" w:hAnsi="Times New Roman" w:cs="Times New Roman"/>
          <w:sz w:val="24"/>
          <w:szCs w:val="24"/>
        </w:rPr>
        <w:t xml:space="preserve"> Фондом</w:t>
      </w:r>
      <w:r w:rsidRPr="00637278">
        <w:rPr>
          <w:rFonts w:ascii="Times New Roman" w:eastAsia="Calibri" w:hAnsi="Times New Roman" w:cs="Times New Roman"/>
          <w:sz w:val="24"/>
          <w:szCs w:val="24"/>
        </w:rPr>
        <w:t xml:space="preserve">, Департаментом ведется работа по внесению изменений в правовые акты, регламентирующие порядок предоставления субсидий, в том числе в части исключения направления по использованию средств субсидии на оплату </w:t>
      </w:r>
      <w:r w:rsidR="002761CB">
        <w:rPr>
          <w:rFonts w:ascii="Times New Roman" w:eastAsia="Calibri" w:hAnsi="Times New Roman" w:cs="Times New Roman"/>
          <w:sz w:val="24"/>
          <w:szCs w:val="24"/>
        </w:rPr>
        <w:t xml:space="preserve">Фондом </w:t>
      </w:r>
      <w:r w:rsidRPr="00637278">
        <w:rPr>
          <w:rFonts w:ascii="Times New Roman" w:eastAsia="Calibri" w:hAnsi="Times New Roman" w:cs="Times New Roman"/>
          <w:sz w:val="24"/>
          <w:szCs w:val="24"/>
        </w:rPr>
        <w:t>сторонним организациям и физлицам деятельности, направленной на предоставление компенсации расходов субъектам МСП.</w:t>
      </w:r>
    </w:p>
    <w:p w:rsidR="00637278" w:rsidRPr="00637278" w:rsidRDefault="00637278" w:rsidP="00637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2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нарушение бюджетного законодательства </w:t>
      </w:r>
      <w:r w:rsidR="002761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(Фонд) </w:t>
      </w:r>
      <w:r w:rsidRPr="00637278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637278">
        <w:rPr>
          <w:rFonts w:ascii="Times New Roman" w:eastAsia="Calibri" w:hAnsi="Times New Roman" w:cs="Times New Roman"/>
          <w:sz w:val="24"/>
          <w:szCs w:val="24"/>
        </w:rPr>
        <w:t>остановлением мирового суда (по итогам рассмотрения составленного палатой протокола об административном правонарушении) подвергнута административному наказанию в виде штрафа.</w:t>
      </w:r>
    </w:p>
    <w:p w:rsidR="00637278" w:rsidRDefault="00637278" w:rsidP="0061504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4"/>
        </w:rPr>
      </w:pPr>
    </w:p>
    <w:p w:rsidR="00AF2257" w:rsidRDefault="00AF2257" w:rsidP="00323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Контрольное</w:t>
      </w:r>
      <w:r w:rsidR="00323BD6" w:rsidRPr="00F9063A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 w:rsidR="00323BD6">
        <w:rPr>
          <w:rFonts w:ascii="Times New Roman" w:eastAsia="Calibri" w:hAnsi="Times New Roman" w:cs="Times New Roman"/>
          <w:sz w:val="24"/>
          <w:szCs w:val="24"/>
        </w:rPr>
        <w:t>е</w:t>
      </w:r>
      <w:r w:rsidR="00323BD6" w:rsidRPr="00F9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BD6" w:rsidRPr="00323BD6">
        <w:rPr>
          <w:rFonts w:ascii="Times New Roman" w:eastAsia="Calibri" w:hAnsi="Times New Roman" w:cs="Times New Roman"/>
          <w:b/>
          <w:sz w:val="24"/>
          <w:szCs w:val="24"/>
        </w:rPr>
        <w:t>«Проверка использования бюджетных ассигнований на выполнение мероприятий подпрограммы «Модернизация и развитие социального обслуживания населения» и подпрограммы «Доступная среда» в рамках Государственной программы «Социальная поддержка населения Томской области», предоставленных ОГАУ «Комплексный центр социального обслуживания населения Томской области», и собственных доходов учреждения»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323BD6" w:rsidRDefault="00AF2257" w:rsidP="00323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257">
        <w:rPr>
          <w:rFonts w:ascii="Times New Roman" w:eastAsia="Calibri" w:hAnsi="Times New Roman" w:cs="Times New Roman"/>
          <w:sz w:val="24"/>
          <w:szCs w:val="24"/>
        </w:rPr>
        <w:t>У</w:t>
      </w:r>
      <w:r w:rsidR="00323BD6" w:rsidRPr="00F9063A">
        <w:rPr>
          <w:rFonts w:ascii="Times New Roman" w:eastAsia="Calibri" w:hAnsi="Times New Roman" w:cs="Times New Roman"/>
          <w:sz w:val="24"/>
          <w:szCs w:val="24"/>
        </w:rPr>
        <w:t xml:space="preserve">становлены  допущенные учреждением нарушения федерального законодательства о социальном обслуживании граждан в РФ при составлении индивидуальных программ предоставления социальных услуг и оказании услуг, нарушения при осуществлении учреждением приносящей доход деятельности, принятие учреждением локальных правовых актов за рамками своих полномочий, а также отдельные факты нарушений при расходовании средств субсидии на финансовое обеспечение выполнения государственного задания при оплате труда работников. Кроме того, установлены факты несоответствия и неопределенности норм отдельных правовых актов Томской области, регламентирующих социальное обслуживание граждан в Томской области, требующих их устранения. Для устранения нарушений Департаменту социальной защиты Томской области предложено </w:t>
      </w:r>
      <w:r w:rsidR="00323BD6" w:rsidRPr="00F9063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изменения, уточнения в </w:t>
      </w:r>
      <w:r w:rsidR="00323BD6" w:rsidRPr="00F90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правовые акты Томской области в целях их приведения в соответствие с законодательством в рамках полномочий, и направлено </w:t>
      </w:r>
      <w:r w:rsidR="00323BD6" w:rsidRPr="00F9063A">
        <w:rPr>
          <w:rFonts w:ascii="Times New Roman" w:eastAsia="Calibri" w:hAnsi="Times New Roman" w:cs="Times New Roman"/>
          <w:sz w:val="24"/>
          <w:szCs w:val="24"/>
        </w:rPr>
        <w:t xml:space="preserve">ОГАУ «Комплексный центр социального обслуживания населения Томской области» </w:t>
      </w:r>
      <w:r w:rsidR="00323BD6" w:rsidRPr="00F90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Представление об устранении нарушений, по результатам рассмотрения которого учреждением </w:t>
      </w:r>
      <w:r w:rsidR="00323BD6" w:rsidRPr="00F9063A">
        <w:rPr>
          <w:rFonts w:ascii="Times New Roman" w:eastAsia="Calibri" w:hAnsi="Times New Roman" w:cs="Times New Roman"/>
          <w:sz w:val="24"/>
          <w:szCs w:val="24"/>
        </w:rPr>
        <w:t>осуществлен возврат средств в доход областного бюджета в сумме 1,1 млн.руб., направленных на оплату расходов, не связанных с выполнением государственного задания.</w:t>
      </w:r>
    </w:p>
    <w:p w:rsidR="00AF2257" w:rsidRPr="00F9063A" w:rsidRDefault="00AF2257" w:rsidP="00323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2257" w:rsidRDefault="00323BD6" w:rsidP="00323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F9063A">
        <w:rPr>
          <w:rFonts w:ascii="Times New Roman" w:eastAsia="Calibri" w:hAnsi="Times New Roman" w:cs="Times New Roman"/>
          <w:sz w:val="24"/>
          <w:szCs w:val="24"/>
        </w:rPr>
        <w:t>онтрольн</w:t>
      </w:r>
      <w:r w:rsidR="00AF2257">
        <w:rPr>
          <w:rFonts w:ascii="Times New Roman" w:eastAsia="Calibri" w:hAnsi="Times New Roman" w:cs="Times New Roman"/>
          <w:sz w:val="24"/>
          <w:szCs w:val="24"/>
        </w:rPr>
        <w:t>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63A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9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BD6">
        <w:rPr>
          <w:rFonts w:ascii="Times New Roman" w:eastAsia="Calibri" w:hAnsi="Times New Roman" w:cs="Times New Roman"/>
          <w:b/>
          <w:sz w:val="24"/>
          <w:szCs w:val="24"/>
        </w:rPr>
        <w:t xml:space="preserve">«Проверка использования бюджетных ассигнований на выполнение мероприятий в рамках Государственной программы «Развитие здравоохранения Томской области» по санитарно-авиационной эвакуации, </w:t>
      </w:r>
      <w:r w:rsidRPr="00323BD6">
        <w:rPr>
          <w:rFonts w:ascii="Times New Roman" w:eastAsia="Calibri" w:hAnsi="Times New Roman" w:cs="Times New Roman"/>
          <w:b/>
          <w:bCs/>
          <w:sz w:val="24"/>
          <w:szCs w:val="24"/>
        </w:rPr>
        <w:t>оказанию медицинской помощи с применением санитарной авиации и о</w:t>
      </w:r>
      <w:r w:rsidRPr="00323B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беспечению закупки авиационных работ в целях оказания медицинской помощи</w:t>
      </w:r>
      <w:r w:rsidRPr="00323BD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F22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323BD6" w:rsidRPr="00317C88" w:rsidRDefault="00AF2257" w:rsidP="00323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257">
        <w:rPr>
          <w:rFonts w:ascii="Times New Roman" w:eastAsia="Calibri" w:hAnsi="Times New Roman" w:cs="Times New Roman"/>
          <w:sz w:val="24"/>
          <w:szCs w:val="24"/>
        </w:rPr>
        <w:t>У</w:t>
      </w:r>
      <w:r w:rsidR="00323BD6" w:rsidRPr="00F9063A">
        <w:rPr>
          <w:rFonts w:ascii="Times New Roman" w:eastAsia="Calibri" w:hAnsi="Times New Roman" w:cs="Times New Roman"/>
          <w:sz w:val="24"/>
          <w:szCs w:val="24"/>
        </w:rPr>
        <w:t xml:space="preserve">становлено нецелевое использование средств областного бюджета, предоставленных ОГАУЗ «Томская областная клиническая больница» на санитарно-авиационную эвакуацию, и направленных в сумме 7,8 млн.руб. на оплату труда работников, не участвующих в выполнении государственного задания по оказанию медицинской помощи при санитарно-авиационной эвакуации, на оплату услуг (работ), </w:t>
      </w:r>
      <w:r w:rsidR="00323BD6" w:rsidRPr="00F906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уплату налогов, приобретение материальных ценностей для обеспечения деятельности Отделения экстренной консультативной скорой медицинской помощи областной клинической больницы, находящегося в г.Томске, притом что санитарно-авиационная эвакуация осуществляется Отделением Колпашевского филиала областной клинической больницы, а также отдельные нарушения и недостатки при оплате труда работников. </w:t>
      </w:r>
      <w:r w:rsidR="00317C88">
        <w:rPr>
          <w:rFonts w:ascii="Times New Roman" w:eastAsia="Calibri" w:hAnsi="Times New Roman" w:cs="Times New Roman"/>
          <w:sz w:val="24"/>
          <w:szCs w:val="24"/>
        </w:rPr>
        <w:t xml:space="preserve">Указанная сумма в августе т.г. восстановлена в областной бюджет за счет средств от приносящей доход деятельности учреждения. </w:t>
      </w:r>
      <w:r w:rsidR="00323BD6" w:rsidRPr="00F9063A">
        <w:rPr>
          <w:rFonts w:ascii="Times New Roman" w:eastAsia="Calibri" w:hAnsi="Times New Roman" w:cs="Times New Roman"/>
          <w:sz w:val="24"/>
          <w:szCs w:val="24"/>
        </w:rPr>
        <w:t xml:space="preserve">Для устранения выявленных нарушений </w:t>
      </w:r>
      <w:r w:rsidR="00323BD6" w:rsidRPr="00317C88">
        <w:rPr>
          <w:rFonts w:ascii="Times New Roman" w:eastAsia="Calibri" w:hAnsi="Times New Roman" w:cs="Times New Roman"/>
          <w:b/>
          <w:sz w:val="24"/>
          <w:szCs w:val="24"/>
        </w:rPr>
        <w:t>предложено:</w:t>
      </w:r>
    </w:p>
    <w:p w:rsidR="00323BD6" w:rsidRPr="00F9063A" w:rsidRDefault="00323BD6" w:rsidP="00323BD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63A">
        <w:rPr>
          <w:rFonts w:ascii="Times New Roman" w:eastAsia="Calibri" w:hAnsi="Times New Roman" w:cs="Times New Roman"/>
          <w:sz w:val="24"/>
          <w:szCs w:val="24"/>
        </w:rPr>
        <w:t>Департаменту здравоохранения Томской области:</w:t>
      </w:r>
    </w:p>
    <w:p w:rsidR="00323BD6" w:rsidRPr="00F9063A" w:rsidRDefault="00323BD6" w:rsidP="00323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63A">
        <w:rPr>
          <w:rFonts w:ascii="Times New Roman" w:eastAsia="Calibri" w:hAnsi="Times New Roman" w:cs="Times New Roman"/>
          <w:sz w:val="24"/>
          <w:szCs w:val="24"/>
        </w:rPr>
        <w:t>- при определении объема субсидии на финансовое обеспечение выполнения государственного задания на 2023 год учесть выявленные нарушения;</w:t>
      </w:r>
    </w:p>
    <w:p w:rsidR="00323BD6" w:rsidRPr="00F9063A" w:rsidRDefault="00323BD6" w:rsidP="00323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63A">
        <w:rPr>
          <w:rFonts w:ascii="Times New Roman" w:eastAsia="Calibri" w:hAnsi="Times New Roman" w:cs="Times New Roman"/>
          <w:sz w:val="24"/>
          <w:szCs w:val="24"/>
        </w:rPr>
        <w:t xml:space="preserve">- вынести на рассмотрение Комиссии по разработке территориальной программы </w:t>
      </w:r>
      <w:r w:rsidRPr="00F906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обязательного медицинского страхования в Томской области вопрос об </w:t>
      </w:r>
      <w:r w:rsidRPr="00F9063A">
        <w:rPr>
          <w:rFonts w:ascii="Times New Roman" w:eastAsia="Calibri" w:hAnsi="Times New Roman" w:cs="Times New Roman"/>
          <w:sz w:val="24"/>
          <w:szCs w:val="24"/>
        </w:rPr>
        <w:t xml:space="preserve">увеличении объемов </w:t>
      </w:r>
      <w:r w:rsidRPr="00F906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</w:t>
      </w:r>
      <w:r w:rsidRPr="00F9063A">
        <w:rPr>
          <w:rFonts w:ascii="Times New Roman" w:eastAsia="Calibri" w:hAnsi="Times New Roman" w:cs="Times New Roman"/>
          <w:sz w:val="24"/>
          <w:szCs w:val="24"/>
        </w:rPr>
        <w:t xml:space="preserve">ОГАУЗ «Томская областная клиническая больница» </w:t>
      </w:r>
      <w:r w:rsidRPr="00F9063A">
        <w:rPr>
          <w:rFonts w:ascii="Times New Roman" w:eastAsia="Calibri" w:hAnsi="Times New Roman" w:cs="Times New Roman"/>
          <w:sz w:val="24"/>
          <w:szCs w:val="24"/>
          <w:lang w:eastAsia="ru-RU"/>
        </w:rPr>
        <w:t>скорой медицинской помощи за счет средств обязательного медицинского страхования, устанавливаемых</w:t>
      </w:r>
      <w:r w:rsidRPr="00F9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63A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Программой государственных гарантий бесплатного оказания гражданам медицинской помощи на территории Томской области в связи с превышением фактически оказываемых объемов скорой медицинской помощи.</w:t>
      </w:r>
    </w:p>
    <w:p w:rsidR="00323BD6" w:rsidRPr="00F9063A" w:rsidRDefault="00323BD6" w:rsidP="00323BD6">
      <w:pPr>
        <w:widowControl w:val="0"/>
        <w:numPr>
          <w:ilvl w:val="0"/>
          <w:numId w:val="2"/>
        </w:numPr>
        <w:tabs>
          <w:tab w:val="left" w:pos="-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финансов </w:t>
      </w:r>
      <w:r w:rsidRPr="00F9063A">
        <w:rPr>
          <w:rFonts w:ascii="Times New Roman" w:eastAsia="Calibri" w:hAnsi="Times New Roman" w:cs="Times New Roman"/>
          <w:sz w:val="24"/>
          <w:szCs w:val="24"/>
          <w:lang w:eastAsia="ru-RU"/>
        </w:rPr>
        <w:t>Томской области:</w:t>
      </w:r>
    </w:p>
    <w:p w:rsidR="00323BD6" w:rsidRPr="00F9063A" w:rsidRDefault="00323BD6" w:rsidP="00323BD6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63A">
        <w:rPr>
          <w:rFonts w:ascii="Times New Roman" w:eastAsia="Calibri" w:hAnsi="Times New Roman" w:cs="Times New Roman"/>
          <w:sz w:val="24"/>
          <w:szCs w:val="24"/>
          <w:lang w:eastAsia="ru-RU"/>
        </w:rPr>
        <w:t>- в целях совершенствования бюджетного процесса, для возникновения правовых оснований возмещения ущерба рассмотреть вопрос о внесении изменений в приказ от 31.03.2014 №12 «Об утверждении примерной формы соглашения о порядке предоставления субсидии на финансовое обеспечение выполнения государственного задания», предусмотрев ответственность бюджетных и автономных учреждений в виде возврата средств субсидии, полученной на финансовое обеспечение выполнения государственного задания, в случае ее нецелевого использования, а именно направления на оплату расходов, не связанных с выполнением государственного задания.</w:t>
      </w:r>
    </w:p>
    <w:p w:rsidR="00F9063A" w:rsidRPr="00F9063A" w:rsidRDefault="00F9063A" w:rsidP="00F90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63A" w:rsidRPr="00F9063A" w:rsidRDefault="00F9063A" w:rsidP="00F90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внешней проверки бюджетной отчетности главных администраторов бюджетных средств в части расходов областного бюджета на капитальный ремонт объектов областной и/или муниципальной собственности (выборочно) за 2021 год проведена проверка расходов на </w:t>
      </w:r>
      <w:r w:rsidRPr="00AF2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капитальный ремонт в Областном государственном казенном учреждение для детей с ограниченными возможностями здоровья «Центр помощи детям, оставшимся без родителей, «Росток»</w:t>
      </w:r>
      <w:r w:rsidRPr="00F90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не установлено.</w:t>
      </w:r>
    </w:p>
    <w:p w:rsidR="00F9063A" w:rsidRPr="00F9063A" w:rsidRDefault="00F9063A" w:rsidP="00F9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63A" w:rsidRPr="00AF2257" w:rsidRDefault="00333117" w:rsidP="00F906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</w:t>
      </w:r>
      <w:r w:rsidRPr="00AF2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</w:t>
      </w:r>
      <w:r w:rsidR="00F9063A" w:rsidRPr="00AF2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роверка использования средств областного бюджета, предоставленных ОГАУ «Центр спортивной подготовки сборных команд Томской области» на приведение технического состояния здания спортивного комплекса «Юпитер», расположенного по адресу: Томская область, г. Томск, ул. Смирнова, д. 48Б, в соответствие с требованиями пожарной безопасности»</w:t>
      </w:r>
      <w:r w:rsidR="00AF2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063A" w:rsidRDefault="00F9063A" w:rsidP="00F90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целом работы по приведению технического состояния здания спортивного комплекса «Юпитер» в соответствие с требованиями пожарной безопасности (аварийные выходы, система автоматической пожарной сигнализации и системы оповещения и управления эвакуацией людей при пожаре, устройство системы вентиляции), выполнены в соответствии с проектной документацией с учетом технических решений.</w:t>
      </w:r>
    </w:p>
    <w:p w:rsidR="00EE1989" w:rsidRDefault="00EE1989" w:rsidP="00F90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DC1" w:rsidRPr="00465DC1" w:rsidRDefault="00465DC1" w:rsidP="00465DC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DC1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Контрольное мероприятие</w:t>
      </w:r>
      <w:r w:rsidRPr="00465D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465DC1">
        <w:rPr>
          <w:rFonts w:ascii="Times New Roman" w:eastAsia="Calibri" w:hAnsi="Times New Roman" w:cs="Times New Roman"/>
          <w:b/>
          <w:sz w:val="24"/>
          <w:szCs w:val="24"/>
        </w:rPr>
        <w:t xml:space="preserve">«Проверка использования бюджетных средств, направленных в 2021 году на реализацию ведомственной целевой программы «Обеспечение снижения негативного воздействия на окружающую среду хозяйствующих субъектов» государственной программы «Охрана окружающей среды, воспроизводство и рациональное использование природных ресурсов». </w:t>
      </w:r>
    </w:p>
    <w:p w:rsidR="00465DC1" w:rsidRPr="00465DC1" w:rsidRDefault="00465DC1" w:rsidP="00465DC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D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Установлены факты ненадлежащего исполнения государственных контрактов при выполнении мероприятий ВЦП, утвержденной </w:t>
      </w:r>
      <w:r w:rsidRPr="00465DC1">
        <w:rPr>
          <w:rFonts w:ascii="Times New Roman" w:eastAsia="Calibri" w:hAnsi="Times New Roman" w:cs="Times New Roman"/>
          <w:sz w:val="24"/>
          <w:szCs w:val="24"/>
          <w:lang w:eastAsia="ar-SA"/>
        </w:rPr>
        <w:t>Департаментом  природных ресурсов и охраны окружающей среды</w:t>
      </w:r>
      <w:r w:rsidRPr="00465DC1">
        <w:rPr>
          <w:rFonts w:ascii="Times New Roman" w:eastAsia="Calibri" w:hAnsi="Times New Roman" w:cs="Times New Roman"/>
          <w:sz w:val="24"/>
          <w:szCs w:val="24"/>
        </w:rPr>
        <w:t xml:space="preserve">; предусмотренные ВЦП мероприятия по снижению загрязняющих веществ в сточных водах не проводились; показатель непосредственного результата мероприятия «Организация и обеспечение выполнения областных мероприятий (проектов) в области охраны окружающей среды» за 2021 год фактически не достигнут, так как в общее количество проведенных мероприятий включались выполненные и оплаченные мероприятия в 2018-2019 годах; выделенные дополнительные бюджетные средства в ноябре 2021 года в размере 2,3 млн.руб. на достижение показателей конечного результата ВЦП никого влияния не оказали. </w:t>
      </w:r>
    </w:p>
    <w:p w:rsidR="00465DC1" w:rsidRPr="00465DC1" w:rsidRDefault="00465DC1" w:rsidP="00465DC1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DC1">
        <w:rPr>
          <w:rFonts w:ascii="Times New Roman" w:eastAsia="Calibri" w:hAnsi="Times New Roman" w:cs="Times New Roman"/>
          <w:sz w:val="24"/>
          <w:szCs w:val="24"/>
        </w:rPr>
        <w:t xml:space="preserve">При проверке формирования государственного задания </w:t>
      </w:r>
      <w:r w:rsidRPr="00465D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Департаментом  природных ресурсов и охраны окружающей среды в отношении подведомственного учреждения ОГБУ «Облкомприрода» </w:t>
      </w:r>
      <w:r w:rsidRPr="00465DC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65DC1">
        <w:rPr>
          <w:rFonts w:ascii="Times New Roman" w:hAnsi="Times New Roman" w:cs="Times New Roman"/>
          <w:sz w:val="24"/>
          <w:szCs w:val="24"/>
        </w:rPr>
        <w:t xml:space="preserve">определения объема финансового обеспечения его выполнения </w:t>
      </w:r>
      <w:r w:rsidRPr="00465DC1">
        <w:rPr>
          <w:rFonts w:ascii="Times New Roman" w:eastAsia="Calibri" w:hAnsi="Times New Roman" w:cs="Times New Roman"/>
          <w:bCs/>
          <w:sz w:val="24"/>
          <w:szCs w:val="24"/>
        </w:rPr>
        <w:t>установлено:</w:t>
      </w:r>
      <w:r w:rsidRPr="00465DC1">
        <w:rPr>
          <w:rFonts w:ascii="Times New Roman" w:hAnsi="Times New Roman" w:cs="Times New Roman"/>
          <w:sz w:val="24"/>
          <w:szCs w:val="24"/>
        </w:rPr>
        <w:t xml:space="preserve"> неполное соответствие наименования и содержания государственной работы предусмотренным уставом учреждения и </w:t>
      </w:r>
      <w:r w:rsidRPr="00465DC1">
        <w:rPr>
          <w:rFonts w:ascii="Times New Roman" w:eastAsia="Calibri" w:hAnsi="Times New Roman" w:cs="Times New Roman"/>
          <w:bCs/>
          <w:sz w:val="24"/>
          <w:szCs w:val="24"/>
        </w:rPr>
        <w:t xml:space="preserve">региональным перечнем (классификатором) государственных (муниципальных) услуг и работ; несогласованность отдельных положений распоряжения Департамента о порядке осуществления контроля за выполнением государственного задания и отчетности о его исполнении; </w:t>
      </w:r>
      <w:r w:rsidRPr="00465DC1">
        <w:rPr>
          <w:rFonts w:ascii="Times New Roman" w:eastAsia="Calibri" w:hAnsi="Times New Roman" w:cs="Times New Roman"/>
          <w:sz w:val="24"/>
          <w:szCs w:val="24"/>
        </w:rPr>
        <w:t xml:space="preserve">нарушение порядка формирования государственного задания в части несогласования с Департаментом финансов значения допустимого (возможного) отклонения установленных показателей государственного задания, в пределах которого государственное задание считается выполненным; недостатки и </w:t>
      </w:r>
      <w:r w:rsidRPr="00465DC1">
        <w:rPr>
          <w:rFonts w:ascii="Times New Roman" w:eastAsia="Calibri" w:hAnsi="Times New Roman" w:cs="Times New Roman"/>
          <w:bCs/>
          <w:sz w:val="24"/>
          <w:szCs w:val="24"/>
        </w:rPr>
        <w:t xml:space="preserve">внутренняя несогласованность отдельных норм порядка определения затрат на выполнение работ подведомственным учреждением; а также недостатки, допущенные учреждением при </w:t>
      </w:r>
      <w:r w:rsidRPr="00465DC1">
        <w:rPr>
          <w:rFonts w:ascii="Times New Roman" w:eastAsia="Calibri" w:hAnsi="Times New Roman" w:cs="Times New Roman"/>
          <w:sz w:val="24"/>
          <w:szCs w:val="24"/>
        </w:rPr>
        <w:t xml:space="preserve">формировании отчета о </w:t>
      </w:r>
      <w:r w:rsidRPr="00465DC1">
        <w:rPr>
          <w:rFonts w:ascii="Times New Roman" w:eastAsia="Calibri" w:hAnsi="Times New Roman" w:cs="Times New Roman"/>
          <w:bCs/>
          <w:sz w:val="24"/>
          <w:szCs w:val="24"/>
        </w:rPr>
        <w:t>выполнении государственного задания,</w:t>
      </w:r>
      <w:r w:rsidRPr="00465DC1">
        <w:rPr>
          <w:rFonts w:ascii="Times New Roman" w:eastAsia="Calibri" w:hAnsi="Times New Roman" w:cs="Times New Roman"/>
          <w:sz w:val="24"/>
          <w:szCs w:val="24"/>
        </w:rPr>
        <w:t xml:space="preserve"> положений об оплате труда работников и об учетной политике. </w:t>
      </w:r>
    </w:p>
    <w:p w:rsidR="00465DC1" w:rsidRPr="00465DC1" w:rsidRDefault="00465DC1" w:rsidP="00465DC1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DC1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проверки целевого использования </w:t>
      </w:r>
      <w:r w:rsidRPr="00465DC1">
        <w:rPr>
          <w:rFonts w:ascii="Times New Roman" w:eastAsia="Calibri" w:hAnsi="Times New Roman" w:cs="Times New Roman"/>
          <w:sz w:val="24"/>
          <w:szCs w:val="24"/>
        </w:rPr>
        <w:t xml:space="preserve">ОГБУ «Облкомприрода» </w:t>
      </w:r>
      <w:r w:rsidRPr="00465DC1">
        <w:rPr>
          <w:rFonts w:ascii="Times New Roman" w:eastAsia="Calibri" w:hAnsi="Times New Roman" w:cs="Times New Roman"/>
          <w:bCs/>
          <w:sz w:val="24"/>
          <w:szCs w:val="24"/>
        </w:rPr>
        <w:t xml:space="preserve"> субсидии на иные цели </w:t>
      </w:r>
      <w:r w:rsidRPr="00465DC1">
        <w:rPr>
          <w:rFonts w:ascii="Times New Roman" w:eastAsia="Calibri" w:hAnsi="Times New Roman" w:cs="Times New Roman"/>
          <w:sz w:val="24"/>
          <w:szCs w:val="24"/>
        </w:rPr>
        <w:t>- приобретение системы капиллярного электрофореза с комплектующими материалами (мероприятие ВЦП) установлено следующее:</w:t>
      </w:r>
    </w:p>
    <w:p w:rsidR="00465DC1" w:rsidRPr="00465DC1" w:rsidRDefault="00465DC1" w:rsidP="00465DC1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DC1">
        <w:rPr>
          <w:rFonts w:ascii="Times New Roman" w:eastAsia="Calibri" w:hAnsi="Times New Roman" w:cs="Times New Roman"/>
          <w:sz w:val="24"/>
          <w:szCs w:val="24"/>
        </w:rPr>
        <w:t xml:space="preserve">- в нарушение </w:t>
      </w:r>
      <w:r w:rsidRPr="00465DC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65DC1">
        <w:rPr>
          <w:rFonts w:ascii="Times New Roman" w:eastAsia="Calibri" w:hAnsi="Times New Roman" w:cs="Times New Roman"/>
          <w:sz w:val="24"/>
          <w:szCs w:val="24"/>
        </w:rPr>
        <w:t>орядка определения объема и условий предоставления субсидий на иные цели, утвержденного Департаментом, решение о предоставлении субсидии распоряжением Департамента не утверждалось;</w:t>
      </w:r>
    </w:p>
    <w:p w:rsidR="00465DC1" w:rsidRPr="00465DC1" w:rsidRDefault="00465DC1" w:rsidP="00465DC1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DC1">
        <w:rPr>
          <w:rFonts w:ascii="Times New Roman" w:eastAsia="Calibri" w:hAnsi="Times New Roman" w:cs="Times New Roman"/>
          <w:bCs/>
          <w:sz w:val="24"/>
          <w:szCs w:val="24"/>
        </w:rPr>
        <w:t xml:space="preserve">- в нарушение условий соглашения о предоставлении субсидии заявка для получения субсидии и смета расходов не соответствуют предусмотренным формам; заявка была представлена без приложения документов, подтверждающих фактическую потребность в средствах субсидии; </w:t>
      </w:r>
      <w:r w:rsidRPr="00465DC1">
        <w:rPr>
          <w:rFonts w:ascii="Times New Roman" w:eastAsia="Calibri" w:hAnsi="Times New Roman" w:cs="Times New Roman"/>
          <w:sz w:val="24"/>
          <w:szCs w:val="24"/>
        </w:rPr>
        <w:t>не соблюдены срок представления, срок и порядок утверждения сметы расходов; учреждение не обеспечило достижение значения показателя результативности предоставления субсидии</w:t>
      </w:r>
      <w:r w:rsidRPr="00465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(мероприятие ВЦП не выполнено), в связи с чем </w:t>
      </w:r>
      <w:r w:rsidRPr="00465DC1">
        <w:rPr>
          <w:rFonts w:ascii="Times New Roman" w:eastAsia="Calibri" w:hAnsi="Times New Roman" w:cs="Times New Roman"/>
          <w:bCs/>
          <w:sz w:val="24"/>
          <w:szCs w:val="24"/>
        </w:rPr>
        <w:t xml:space="preserve">средства субсидии подлежали возврату в областной бюджет, однако Департаментом принято решение в подтверждении потребности в неиспользованном в 2021 году остатке субсидии на иные цели и предоставлении его в 2022 году в размере 1,4 млн.руб. </w:t>
      </w:r>
    </w:p>
    <w:p w:rsidR="00465DC1" w:rsidRPr="00465DC1" w:rsidRDefault="00465DC1" w:rsidP="00465DC1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465D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65DC1">
        <w:rPr>
          <w:rFonts w:ascii="Times New Roman" w:eastAsia="Calibri" w:hAnsi="Times New Roman" w:cs="Times New Roman"/>
          <w:sz w:val="24"/>
          <w:szCs w:val="24"/>
        </w:rPr>
        <w:t>Для устранения выявленных нарушений и недостатков в</w:t>
      </w:r>
      <w:r w:rsidRPr="00465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 </w:t>
      </w:r>
      <w:r w:rsidRPr="00465DC1">
        <w:rPr>
          <w:rFonts w:ascii="Times New Roman" w:eastAsia="Calibri" w:hAnsi="Times New Roman" w:cs="Times New Roman"/>
          <w:sz w:val="24"/>
          <w:szCs w:val="24"/>
          <w:lang w:eastAsia="ar-SA"/>
        </w:rPr>
        <w:t>Департамента  природных ресурсов и охраны окружающей среды и ОГБУ «Облкомприрода»</w:t>
      </w:r>
      <w:r w:rsidRPr="00465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направлены представления. Работа по устранению нарушений в настоящее время ведется.</w:t>
      </w:r>
    </w:p>
    <w:p w:rsidR="00EE1989" w:rsidRPr="00F9063A" w:rsidRDefault="00EE1989" w:rsidP="00F906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63A" w:rsidRPr="00F9063A" w:rsidRDefault="00F9063A" w:rsidP="00F90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F9063A" w:rsidRPr="00F9063A" w:rsidRDefault="00F9063A" w:rsidP="00F9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63A" w:rsidRPr="00663A34" w:rsidRDefault="00F9063A" w:rsidP="0061504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4"/>
        </w:rPr>
      </w:pPr>
    </w:p>
    <w:sectPr w:rsidR="00F9063A" w:rsidRPr="00663A34" w:rsidSect="00F906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3A" w:rsidRDefault="00F9063A" w:rsidP="00F9063A">
      <w:pPr>
        <w:spacing w:after="0" w:line="240" w:lineRule="auto"/>
      </w:pPr>
      <w:r>
        <w:separator/>
      </w:r>
    </w:p>
  </w:endnote>
  <w:endnote w:type="continuationSeparator" w:id="0">
    <w:p w:rsidR="00F9063A" w:rsidRDefault="00F9063A" w:rsidP="00F9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3A" w:rsidRDefault="00F9063A" w:rsidP="00F9063A">
      <w:pPr>
        <w:spacing w:after="0" w:line="240" w:lineRule="auto"/>
      </w:pPr>
      <w:r>
        <w:separator/>
      </w:r>
    </w:p>
  </w:footnote>
  <w:footnote w:type="continuationSeparator" w:id="0">
    <w:p w:rsidR="00F9063A" w:rsidRDefault="00F9063A" w:rsidP="00F9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986124"/>
      <w:docPartObj>
        <w:docPartGallery w:val="Page Numbers (Top of Page)"/>
        <w:docPartUnique/>
      </w:docPartObj>
    </w:sdtPr>
    <w:sdtEndPr/>
    <w:sdtContent>
      <w:p w:rsidR="00F9063A" w:rsidRDefault="00F906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58">
          <w:rPr>
            <w:noProof/>
          </w:rPr>
          <w:t>5</w:t>
        </w:r>
        <w:r>
          <w:fldChar w:fldCharType="end"/>
        </w:r>
      </w:p>
    </w:sdtContent>
  </w:sdt>
  <w:p w:rsidR="00F9063A" w:rsidRDefault="00F906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87C"/>
    <w:multiLevelType w:val="hybridMultilevel"/>
    <w:tmpl w:val="BAC001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4A3C2D"/>
    <w:multiLevelType w:val="hybridMultilevel"/>
    <w:tmpl w:val="9B0A4E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9C"/>
    <w:rsid w:val="000544AE"/>
    <w:rsid w:val="00205EB5"/>
    <w:rsid w:val="002761CB"/>
    <w:rsid w:val="00317C88"/>
    <w:rsid w:val="00323BD6"/>
    <w:rsid w:val="00333117"/>
    <w:rsid w:val="00442B90"/>
    <w:rsid w:val="00465DC1"/>
    <w:rsid w:val="00615045"/>
    <w:rsid w:val="00637278"/>
    <w:rsid w:val="00642A42"/>
    <w:rsid w:val="00663A34"/>
    <w:rsid w:val="008137AB"/>
    <w:rsid w:val="008E47EF"/>
    <w:rsid w:val="009675F9"/>
    <w:rsid w:val="00992D58"/>
    <w:rsid w:val="00AD303F"/>
    <w:rsid w:val="00AF2257"/>
    <w:rsid w:val="00B22F00"/>
    <w:rsid w:val="00B622DC"/>
    <w:rsid w:val="00C61DD9"/>
    <w:rsid w:val="00CC218A"/>
    <w:rsid w:val="00DD1BB9"/>
    <w:rsid w:val="00E34A9C"/>
    <w:rsid w:val="00EE1989"/>
    <w:rsid w:val="00F42697"/>
    <w:rsid w:val="00F832AD"/>
    <w:rsid w:val="00F9063A"/>
    <w:rsid w:val="00FC03C5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127F1-A009-48E9-90A7-3E224320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2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9">
    <w:name w:val="Font Style29"/>
    <w:uiPriority w:val="99"/>
    <w:rsid w:val="00642A42"/>
    <w:rPr>
      <w:rFonts w:ascii="Times New Roman" w:hAnsi="Times New Roman"/>
      <w:sz w:val="66"/>
    </w:rPr>
  </w:style>
  <w:style w:type="paragraph" w:styleId="a4">
    <w:name w:val="Body Text"/>
    <w:basedOn w:val="a"/>
    <w:link w:val="a5"/>
    <w:unhideWhenUsed/>
    <w:rsid w:val="000544A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544AE"/>
    <w:rPr>
      <w:rFonts w:ascii="Arial" w:eastAsia="Times New Roman" w:hAnsi="Arial" w:cs="Arial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63A"/>
  </w:style>
  <w:style w:type="paragraph" w:styleId="a8">
    <w:name w:val="footer"/>
    <w:basedOn w:val="a"/>
    <w:link w:val="a9"/>
    <w:uiPriority w:val="99"/>
    <w:unhideWhenUsed/>
    <w:rsid w:val="00F9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ones.tomsk.gov.ru/phonebook/department?id=277&amp;typ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 Сергей Владимирович</dc:creator>
  <cp:lastModifiedBy>Вторушин Геннадий Алексеевич</cp:lastModifiedBy>
  <cp:revision>22</cp:revision>
  <dcterms:created xsi:type="dcterms:W3CDTF">2022-08-09T05:09:00Z</dcterms:created>
  <dcterms:modified xsi:type="dcterms:W3CDTF">2022-09-06T02:33:00Z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