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44" w:rsidRDefault="009A4744" w:rsidP="009A4744">
      <w:pPr>
        <w:spacing w:after="0"/>
        <w:ind w:firstLine="68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45FB7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9A4744" w:rsidRDefault="009A4744" w:rsidP="009A4744">
      <w:pPr>
        <w:spacing w:after="0"/>
        <w:ind w:firstLine="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744" w:rsidRPr="009D4896" w:rsidRDefault="00300DA3" w:rsidP="009A4744">
      <w:pPr>
        <w:spacing w:after="0"/>
        <w:ind w:firstLine="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896">
        <w:rPr>
          <w:rFonts w:ascii="Times New Roman" w:hAnsi="Times New Roman" w:cs="Times New Roman"/>
          <w:b/>
          <w:sz w:val="24"/>
          <w:szCs w:val="24"/>
        </w:rPr>
        <w:t xml:space="preserve">Государственный внутренний долг Томской области </w:t>
      </w:r>
    </w:p>
    <w:p w:rsidR="00300DA3" w:rsidRPr="009D4896" w:rsidRDefault="00300DA3" w:rsidP="009A4744">
      <w:pPr>
        <w:spacing w:after="0"/>
        <w:ind w:firstLine="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896">
        <w:rPr>
          <w:rFonts w:ascii="Times New Roman" w:hAnsi="Times New Roman" w:cs="Times New Roman"/>
          <w:b/>
          <w:sz w:val="24"/>
          <w:szCs w:val="24"/>
        </w:rPr>
        <w:t>и расходы на его обслуживание</w:t>
      </w:r>
    </w:p>
    <w:p w:rsidR="009A4744" w:rsidRPr="009A4744" w:rsidRDefault="009A4744" w:rsidP="009A4744">
      <w:pPr>
        <w:spacing w:after="0"/>
        <w:ind w:firstLine="6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6D" w:rsidRDefault="00872A6D" w:rsidP="00652E88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300DA3">
        <w:rPr>
          <w:rFonts w:ascii="Times New Roman" w:hAnsi="Times New Roman" w:cs="Times New Roman"/>
          <w:sz w:val="24"/>
          <w:szCs w:val="24"/>
        </w:rPr>
        <w:t>Государственный внутренний долг Томской области</w:t>
      </w:r>
      <w:r w:rsidRPr="00872A6D">
        <w:rPr>
          <w:rFonts w:ascii="Times New Roman" w:hAnsi="Times New Roman" w:cs="Times New Roman"/>
          <w:sz w:val="24"/>
          <w:szCs w:val="24"/>
        </w:rPr>
        <w:t xml:space="preserve"> по состоянию на 01.01.202</w:t>
      </w:r>
      <w:r w:rsidR="008A50A9">
        <w:rPr>
          <w:rFonts w:ascii="Times New Roman" w:hAnsi="Times New Roman" w:cs="Times New Roman"/>
          <w:sz w:val="24"/>
          <w:szCs w:val="24"/>
        </w:rPr>
        <w:t>1</w:t>
      </w:r>
      <w:r w:rsidRPr="00872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D85877" w:rsidRPr="00D85877">
        <w:rPr>
          <w:rFonts w:ascii="Times New Roman" w:hAnsi="Times New Roman" w:cs="Times New Roman"/>
          <w:sz w:val="24"/>
          <w:szCs w:val="24"/>
        </w:rPr>
        <w:t>42</w:t>
      </w:r>
      <w:r w:rsidR="00D858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85877" w:rsidRPr="00D85877">
        <w:rPr>
          <w:rFonts w:ascii="Times New Roman" w:hAnsi="Times New Roman" w:cs="Times New Roman"/>
          <w:sz w:val="24"/>
          <w:szCs w:val="24"/>
        </w:rPr>
        <w:t>161</w:t>
      </w:r>
      <w:r w:rsidR="00D858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85877" w:rsidRPr="00D85877">
        <w:rPr>
          <w:rFonts w:ascii="Times New Roman" w:hAnsi="Times New Roman" w:cs="Times New Roman"/>
          <w:sz w:val="24"/>
          <w:szCs w:val="24"/>
        </w:rPr>
        <w:t>132</w:t>
      </w:r>
      <w:r w:rsidR="00D85877">
        <w:rPr>
          <w:rFonts w:ascii="Times New Roman" w:hAnsi="Times New Roman" w:cs="Times New Roman"/>
          <w:sz w:val="24"/>
          <w:szCs w:val="24"/>
        </w:rPr>
        <w:t>,</w:t>
      </w:r>
      <w:r w:rsidR="00D85877" w:rsidRPr="00D858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BF549E">
        <w:rPr>
          <w:rFonts w:ascii="Times New Roman" w:hAnsi="Times New Roman" w:cs="Times New Roman"/>
          <w:sz w:val="24"/>
          <w:szCs w:val="24"/>
        </w:rPr>
        <w:t xml:space="preserve"> или </w:t>
      </w:r>
      <w:r w:rsidR="00D85877">
        <w:rPr>
          <w:rFonts w:ascii="Times New Roman" w:hAnsi="Times New Roman" w:cs="Times New Roman"/>
          <w:sz w:val="24"/>
          <w:szCs w:val="24"/>
        </w:rPr>
        <w:t>119,7</w:t>
      </w:r>
      <w:r w:rsidR="00BF549E">
        <w:rPr>
          <w:rFonts w:ascii="Times New Roman" w:hAnsi="Times New Roman" w:cs="Times New Roman"/>
          <w:sz w:val="24"/>
          <w:szCs w:val="24"/>
        </w:rPr>
        <w:t>% от плановых назначений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2A6D">
        <w:rPr>
          <w:rFonts w:ascii="Times New Roman" w:hAnsi="Times New Roman" w:cs="Times New Roman"/>
          <w:sz w:val="24"/>
          <w:szCs w:val="24"/>
        </w:rPr>
        <w:t>что соответствует объему, указанному в Пояснительной записке к Отчету об исполнении областного бюджета за 20</w:t>
      </w:r>
      <w:r w:rsidR="00D85877">
        <w:rPr>
          <w:rFonts w:ascii="Times New Roman" w:hAnsi="Times New Roman" w:cs="Times New Roman"/>
          <w:sz w:val="24"/>
          <w:szCs w:val="24"/>
        </w:rPr>
        <w:t>20</w:t>
      </w:r>
      <w:r w:rsidRPr="00872A6D">
        <w:rPr>
          <w:rFonts w:ascii="Times New Roman" w:hAnsi="Times New Roman" w:cs="Times New Roman"/>
          <w:sz w:val="24"/>
          <w:szCs w:val="24"/>
        </w:rPr>
        <w:t xml:space="preserve"> год, представленной одновременно с проектом Закона Томской области «Об исполнении областного бюджета за 20</w:t>
      </w:r>
      <w:r w:rsidR="00D85877">
        <w:rPr>
          <w:rFonts w:ascii="Times New Roman" w:hAnsi="Times New Roman" w:cs="Times New Roman"/>
          <w:sz w:val="24"/>
          <w:szCs w:val="24"/>
        </w:rPr>
        <w:t>20</w:t>
      </w:r>
      <w:r w:rsidRPr="00872A6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9A4744" w:rsidRDefault="009A4744" w:rsidP="00442909">
      <w:pPr>
        <w:spacing w:after="0"/>
        <w:ind w:firstLine="686"/>
        <w:rPr>
          <w:rFonts w:ascii="Times New Roman" w:hAnsi="Times New Roman" w:cs="Times New Roman"/>
          <w:sz w:val="24"/>
          <w:szCs w:val="24"/>
        </w:rPr>
      </w:pPr>
    </w:p>
    <w:p w:rsidR="008A05A4" w:rsidRDefault="000075F1" w:rsidP="008A05A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CAD49A" wp14:editId="3A4ADA8F">
            <wp:extent cx="6005384" cy="3558746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4744" w:rsidRPr="008A05A4" w:rsidRDefault="009A4744" w:rsidP="008A05A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735" w:rsidRDefault="00326735" w:rsidP="00652E88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110250">
        <w:rPr>
          <w:rFonts w:ascii="Times New Roman" w:hAnsi="Times New Roman" w:cs="Times New Roman"/>
          <w:sz w:val="24"/>
          <w:szCs w:val="24"/>
        </w:rPr>
        <w:t>В 20</w:t>
      </w:r>
      <w:r w:rsidR="00110250" w:rsidRPr="00110250">
        <w:rPr>
          <w:rFonts w:ascii="Times New Roman" w:hAnsi="Times New Roman" w:cs="Times New Roman"/>
          <w:sz w:val="24"/>
          <w:szCs w:val="24"/>
        </w:rPr>
        <w:t>20</w:t>
      </w:r>
      <w:r w:rsidRPr="00110250">
        <w:rPr>
          <w:rFonts w:ascii="Times New Roman" w:hAnsi="Times New Roman" w:cs="Times New Roman"/>
          <w:sz w:val="24"/>
          <w:szCs w:val="24"/>
        </w:rPr>
        <w:t xml:space="preserve"> году сохранилась тенденция </w:t>
      </w:r>
      <w:r w:rsidR="00B34F22">
        <w:rPr>
          <w:rFonts w:ascii="Times New Roman" w:hAnsi="Times New Roman" w:cs="Times New Roman"/>
          <w:sz w:val="24"/>
          <w:szCs w:val="24"/>
        </w:rPr>
        <w:t>к</w:t>
      </w:r>
      <w:r w:rsidRPr="00110250">
        <w:rPr>
          <w:rFonts w:ascii="Times New Roman" w:hAnsi="Times New Roman" w:cs="Times New Roman"/>
          <w:sz w:val="24"/>
          <w:szCs w:val="24"/>
        </w:rPr>
        <w:t xml:space="preserve"> росту государственного долга Томской области</w:t>
      </w:r>
      <w:r w:rsidR="00EF3149">
        <w:rPr>
          <w:rFonts w:ascii="Times New Roman" w:hAnsi="Times New Roman" w:cs="Times New Roman"/>
          <w:sz w:val="24"/>
          <w:szCs w:val="24"/>
        </w:rPr>
        <w:t>,</w:t>
      </w:r>
      <w:r w:rsidRPr="00110250">
        <w:rPr>
          <w:rFonts w:ascii="Times New Roman" w:hAnsi="Times New Roman" w:cs="Times New Roman"/>
          <w:sz w:val="24"/>
          <w:szCs w:val="24"/>
        </w:rPr>
        <w:t xml:space="preserve"> и его объем увеличился на </w:t>
      </w:r>
      <w:r w:rsidR="00110250" w:rsidRPr="00110250">
        <w:rPr>
          <w:rFonts w:ascii="Times New Roman" w:hAnsi="Times New Roman" w:cs="Times New Roman"/>
          <w:sz w:val="24"/>
          <w:szCs w:val="24"/>
        </w:rPr>
        <w:t>9 881 924</w:t>
      </w:r>
      <w:r w:rsidRPr="00110250">
        <w:rPr>
          <w:rFonts w:ascii="Times New Roman" w:hAnsi="Times New Roman" w:cs="Times New Roman"/>
          <w:sz w:val="24"/>
          <w:szCs w:val="24"/>
        </w:rPr>
        <w:t xml:space="preserve"> тыс.руб. или на </w:t>
      </w:r>
      <w:r w:rsidR="00110250" w:rsidRPr="00110250">
        <w:rPr>
          <w:rFonts w:ascii="Times New Roman" w:hAnsi="Times New Roman" w:cs="Times New Roman"/>
          <w:sz w:val="24"/>
          <w:szCs w:val="24"/>
        </w:rPr>
        <w:t>30,6</w:t>
      </w:r>
      <w:r w:rsidRPr="00110250">
        <w:rPr>
          <w:rFonts w:ascii="Times New Roman" w:hAnsi="Times New Roman" w:cs="Times New Roman"/>
          <w:sz w:val="24"/>
          <w:szCs w:val="24"/>
        </w:rPr>
        <w:t>%</w:t>
      </w:r>
      <w:r w:rsidR="00EF3149">
        <w:rPr>
          <w:rFonts w:ascii="Times New Roman" w:hAnsi="Times New Roman" w:cs="Times New Roman"/>
          <w:sz w:val="24"/>
          <w:szCs w:val="24"/>
        </w:rPr>
        <w:t>,</w:t>
      </w:r>
      <w:r w:rsidRPr="00110250">
        <w:t xml:space="preserve"> </w:t>
      </w:r>
      <w:r w:rsidRPr="00110250">
        <w:rPr>
          <w:rFonts w:ascii="Times New Roman" w:hAnsi="Times New Roman" w:cs="Times New Roman"/>
          <w:sz w:val="24"/>
          <w:szCs w:val="24"/>
        </w:rPr>
        <w:t>по сравнению с 201</w:t>
      </w:r>
      <w:r w:rsidR="00110250" w:rsidRPr="00110250">
        <w:rPr>
          <w:rFonts w:ascii="Times New Roman" w:hAnsi="Times New Roman" w:cs="Times New Roman"/>
          <w:sz w:val="24"/>
          <w:szCs w:val="24"/>
        </w:rPr>
        <w:t>9</w:t>
      </w:r>
      <w:r w:rsidRPr="00110250">
        <w:rPr>
          <w:rFonts w:ascii="Times New Roman" w:hAnsi="Times New Roman" w:cs="Times New Roman"/>
          <w:sz w:val="24"/>
          <w:szCs w:val="24"/>
        </w:rPr>
        <w:t xml:space="preserve"> годом.</w:t>
      </w:r>
    </w:p>
    <w:p w:rsidR="00BD1E2F" w:rsidRDefault="00BD1E2F" w:rsidP="00652E88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государственного внутреннего долга Томской области за 2020 год не претерпела существенных изменений, объем рыночного долга (ценные бумаги и кредиты, полученные от кредитных организаций) снизился с 7</w:t>
      </w:r>
      <w:r w:rsidR="005073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,1% в 2019 году до 71,5% в 2020 году. Объем долга, выраженный в бюджетных кредитах, предоставленных Министерством финансов РФ</w:t>
      </w:r>
      <w:r w:rsidR="00121E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вырос с 24,9% в 2019 году до 28,5% в 2020 году.     </w:t>
      </w:r>
    </w:p>
    <w:p w:rsidR="00B34F22" w:rsidRPr="00B34F22" w:rsidRDefault="00B34F22" w:rsidP="00652E88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B34F22">
        <w:rPr>
          <w:rFonts w:ascii="Times New Roman" w:hAnsi="Times New Roman" w:cs="Times New Roman"/>
          <w:sz w:val="24"/>
          <w:szCs w:val="24"/>
        </w:rPr>
        <w:t xml:space="preserve">Как указано в Пояснительной записке, долговая нагрузка, определяемая как отношение объема государственного долга к годовому объему доходов областного бюджета без учета объема безвозмездных поступлений, в 2020 году составила 93%. </w:t>
      </w:r>
    </w:p>
    <w:p w:rsidR="00110250" w:rsidRPr="009A4744" w:rsidRDefault="00110250" w:rsidP="00652E88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Pr="009A4744">
        <w:rPr>
          <w:rFonts w:ascii="Times New Roman" w:hAnsi="Times New Roman" w:cs="Times New Roman"/>
          <w:b/>
          <w:sz w:val="24"/>
          <w:szCs w:val="24"/>
        </w:rPr>
        <w:t xml:space="preserve">по долговой нагрузке среди всех субъектов РФ Томская область занимает </w:t>
      </w:r>
      <w:r w:rsidR="00BB7FB2" w:rsidRPr="009A4744">
        <w:rPr>
          <w:rFonts w:ascii="Times New Roman" w:hAnsi="Times New Roman" w:cs="Times New Roman"/>
          <w:b/>
          <w:sz w:val="24"/>
          <w:szCs w:val="24"/>
        </w:rPr>
        <w:t>5</w:t>
      </w:r>
      <w:r w:rsidRPr="009A4744">
        <w:rPr>
          <w:rFonts w:ascii="Times New Roman" w:hAnsi="Times New Roman" w:cs="Times New Roman"/>
          <w:b/>
          <w:sz w:val="24"/>
          <w:szCs w:val="24"/>
        </w:rPr>
        <w:t xml:space="preserve"> место.</w:t>
      </w:r>
    </w:p>
    <w:p w:rsidR="00B34F22" w:rsidRDefault="00B34F22" w:rsidP="00652E88">
      <w:pPr>
        <w:spacing w:after="0" w:line="240" w:lineRule="auto"/>
        <w:ind w:firstLine="6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субъектах РФ с наибольшей долговой нагрузкой </w:t>
      </w:r>
      <w:r w:rsidR="00121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2020 год </w:t>
      </w:r>
      <w:r w:rsidRPr="00B34F2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представлена ниже в таблице.</w:t>
      </w:r>
    </w:p>
    <w:p w:rsidR="00D75E5C" w:rsidRPr="00B34F22" w:rsidRDefault="00D75E5C" w:rsidP="00652E88">
      <w:pPr>
        <w:spacing w:after="0" w:line="240" w:lineRule="auto"/>
        <w:ind w:firstLine="6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2552"/>
        <w:gridCol w:w="1701"/>
        <w:gridCol w:w="2551"/>
        <w:gridCol w:w="1843"/>
      </w:tblGrid>
      <w:tr w:rsidR="00B34F22" w:rsidRPr="00B34F22" w:rsidTr="00A72C9C">
        <w:trPr>
          <w:trHeight w:val="9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22" w:rsidRPr="00B34F22" w:rsidRDefault="00B34F22" w:rsidP="005B500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гос</w:t>
            </w:r>
            <w:r w:rsidR="005B5007" w:rsidRPr="005B5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="005B5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внутреннего </w:t>
            </w:r>
            <w:r w:rsidRPr="00B34F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долга, тыс.руб.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доходы, тыс.руб.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2" w:rsidRPr="00B34F22" w:rsidRDefault="009A4744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Долговая нагрузка</w:t>
            </w:r>
            <w:r w:rsidR="00B34F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B34F22" w:rsidRPr="00B34F22" w:rsidTr="00A72C9C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49 115 278,63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25 166 357,23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195%</w:t>
            </w:r>
          </w:p>
        </w:tc>
      </w:tr>
      <w:tr w:rsidR="00B34F22" w:rsidRPr="00B34F22" w:rsidTr="00A72C9C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24 474 830,76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17 801 639,62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137%</w:t>
            </w:r>
          </w:p>
        </w:tc>
      </w:tr>
      <w:tr w:rsidR="00B34F22" w:rsidRPr="00B34F22" w:rsidTr="00A72C9C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64 242 552,11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49 404 309,73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130%</w:t>
            </w:r>
          </w:p>
        </w:tc>
      </w:tr>
      <w:tr w:rsidR="00B34F22" w:rsidRPr="00B34F22" w:rsidTr="00A72C9C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6 590 866,55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6 657 122,10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F22" w:rsidRPr="00B34F22" w:rsidRDefault="00B34F22" w:rsidP="00B34F2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99%</w:t>
            </w:r>
          </w:p>
        </w:tc>
      </w:tr>
      <w:tr w:rsidR="00BB7FB2" w:rsidRPr="00B34F22" w:rsidTr="00A72C9C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B2" w:rsidRPr="00932E88" w:rsidRDefault="00BB7FB2" w:rsidP="00BB7FB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932E8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7FB2" w:rsidRPr="00B34F22" w:rsidRDefault="00BB7FB2" w:rsidP="00BB7FB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Томская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7FB2" w:rsidRPr="00B34F22" w:rsidRDefault="00BB7FB2" w:rsidP="00BB7FB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42 161 132,88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B2" w:rsidRPr="00B34F22" w:rsidRDefault="00BB7FB2" w:rsidP="00BB7FB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45 311 904,19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B2" w:rsidRPr="00B34F22" w:rsidRDefault="00BB7FB2" w:rsidP="00BB7FB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93%</w:t>
            </w:r>
          </w:p>
        </w:tc>
      </w:tr>
      <w:tr w:rsidR="00932E88" w:rsidRPr="00B34F22" w:rsidTr="00BB7FB2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88" w:rsidRPr="00932E88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19 037 251,20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20 717 433,83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92%</w:t>
            </w:r>
          </w:p>
        </w:tc>
      </w:tr>
      <w:tr w:rsidR="00932E88" w:rsidRPr="00B34F22" w:rsidTr="00BB7FB2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88" w:rsidRPr="00932E88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932E8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Карелия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23 890 720,23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27 131 141,28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</w:tr>
      <w:tr w:rsidR="00932E88" w:rsidRPr="00B34F22" w:rsidTr="00932E88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88" w:rsidRPr="00932E88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17 574 530,04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20 424 123,20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88" w:rsidRPr="00B34F22" w:rsidRDefault="005B489B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="00932E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="00932E88"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32E88" w:rsidRPr="00B34F22" w:rsidTr="00932E88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88" w:rsidRPr="00932E88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18 139 260,93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21 230 497,02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</w:tr>
      <w:tr w:rsidR="00932E88" w:rsidRPr="00B34F22" w:rsidTr="00A72C9C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88" w:rsidRPr="00932E88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Карачаево-Черкесская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5 310 937,26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lang w:eastAsia="ru-RU"/>
              </w:rPr>
              <w:t>6 585 288,68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88" w:rsidRPr="00B34F22" w:rsidRDefault="00932E88" w:rsidP="00932E8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</w:tr>
    </w:tbl>
    <w:p w:rsidR="00B34F22" w:rsidRPr="00F6029F" w:rsidRDefault="00EF3149" w:rsidP="00AD6EC8">
      <w:pPr>
        <w:spacing w:after="0"/>
        <w:ind w:firstLine="686"/>
        <w:rPr>
          <w:rFonts w:ascii="Times New Roman" w:hAnsi="Times New Roman" w:cs="Times New Roman"/>
        </w:rPr>
      </w:pPr>
      <w:r w:rsidRPr="00F6029F">
        <w:rPr>
          <w:rFonts w:ascii="Times New Roman" w:hAnsi="Times New Roman" w:cs="Times New Roman"/>
        </w:rPr>
        <w:t xml:space="preserve">* </w:t>
      </w:r>
      <w:r w:rsidR="00BB654F" w:rsidRPr="00F6029F">
        <w:rPr>
          <w:rFonts w:ascii="Times New Roman" w:hAnsi="Times New Roman" w:cs="Times New Roman"/>
        </w:rPr>
        <w:t>источник информации</w:t>
      </w:r>
      <w:r w:rsidRPr="00F6029F">
        <w:rPr>
          <w:rFonts w:ascii="Times New Roman" w:hAnsi="Times New Roman" w:cs="Times New Roman"/>
        </w:rPr>
        <w:t xml:space="preserve"> -</w:t>
      </w:r>
      <w:r w:rsidR="00BB654F" w:rsidRPr="00F6029F">
        <w:rPr>
          <w:rFonts w:ascii="Times New Roman" w:hAnsi="Times New Roman" w:cs="Times New Roman"/>
        </w:rPr>
        <w:t xml:space="preserve"> сайт Министерства финансов РФ (minfin.</w:t>
      </w:r>
      <w:r w:rsidR="00B34F22" w:rsidRPr="00F6029F">
        <w:rPr>
          <w:rFonts w:ascii="Times New Roman" w:hAnsi="Times New Roman" w:cs="Times New Roman"/>
          <w:lang w:val="en-US"/>
        </w:rPr>
        <w:t>gov</w:t>
      </w:r>
      <w:r w:rsidR="00B34F22" w:rsidRPr="00F6029F">
        <w:rPr>
          <w:rFonts w:ascii="Times New Roman" w:hAnsi="Times New Roman" w:cs="Times New Roman"/>
        </w:rPr>
        <w:t>.</w:t>
      </w:r>
      <w:r w:rsidR="00BB654F" w:rsidRPr="00F6029F">
        <w:rPr>
          <w:rFonts w:ascii="Times New Roman" w:hAnsi="Times New Roman" w:cs="Times New Roman"/>
        </w:rPr>
        <w:t>ru)</w:t>
      </w:r>
    </w:p>
    <w:p w:rsidR="00BB654F" w:rsidRPr="00F6029F" w:rsidRDefault="00EF3149" w:rsidP="00AD6EC8">
      <w:pPr>
        <w:spacing w:after="0"/>
        <w:ind w:firstLine="686"/>
        <w:rPr>
          <w:rFonts w:ascii="Times New Roman" w:hAnsi="Times New Roman" w:cs="Times New Roman"/>
          <w:highlight w:val="lightGray"/>
        </w:rPr>
      </w:pPr>
      <w:r w:rsidRPr="00F6029F">
        <w:rPr>
          <w:rFonts w:ascii="Times New Roman" w:hAnsi="Times New Roman" w:cs="Times New Roman"/>
        </w:rPr>
        <w:t xml:space="preserve">** </w:t>
      </w:r>
      <w:r w:rsidR="00B34F22" w:rsidRPr="00F6029F">
        <w:rPr>
          <w:rFonts w:ascii="Times New Roman" w:hAnsi="Times New Roman" w:cs="Times New Roman"/>
        </w:rPr>
        <w:t xml:space="preserve">источник информации </w:t>
      </w:r>
      <w:r w:rsidRPr="00F6029F">
        <w:rPr>
          <w:rFonts w:ascii="Times New Roman" w:hAnsi="Times New Roman" w:cs="Times New Roman"/>
        </w:rPr>
        <w:t xml:space="preserve">- </w:t>
      </w:r>
      <w:r w:rsidR="00B34F22" w:rsidRPr="00F6029F">
        <w:rPr>
          <w:rFonts w:ascii="Times New Roman" w:hAnsi="Times New Roman" w:cs="Times New Roman"/>
        </w:rPr>
        <w:t>сайт Федерального казначейства РФ (roskazna.gov.ru)</w:t>
      </w:r>
    </w:p>
    <w:p w:rsidR="00A72C9C" w:rsidRDefault="00A72C9C" w:rsidP="00326735">
      <w:pPr>
        <w:spacing w:after="0"/>
        <w:ind w:firstLine="686"/>
        <w:rPr>
          <w:rFonts w:ascii="Times New Roman" w:hAnsi="Times New Roman" w:cs="Times New Roman"/>
          <w:sz w:val="24"/>
          <w:szCs w:val="24"/>
        </w:rPr>
      </w:pPr>
    </w:p>
    <w:p w:rsidR="00A72C9C" w:rsidRDefault="00EE24F6" w:rsidP="00652E88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A72C9C">
        <w:rPr>
          <w:rFonts w:ascii="Times New Roman" w:hAnsi="Times New Roman" w:cs="Times New Roman"/>
          <w:sz w:val="24"/>
          <w:szCs w:val="24"/>
        </w:rPr>
        <w:t>Контрольно-счетной палатой проведен анализ отчетов об исполнении бюджетов субъектов РФ, а также информации об объеме государственного долга субъектов РФ за 201</w:t>
      </w:r>
      <w:r w:rsidR="00A72C9C" w:rsidRPr="00A72C9C">
        <w:rPr>
          <w:rFonts w:ascii="Times New Roman" w:hAnsi="Times New Roman" w:cs="Times New Roman"/>
          <w:sz w:val="24"/>
          <w:szCs w:val="24"/>
        </w:rPr>
        <w:t>9</w:t>
      </w:r>
      <w:r w:rsidRPr="00A72C9C">
        <w:rPr>
          <w:rFonts w:ascii="Times New Roman" w:hAnsi="Times New Roman" w:cs="Times New Roman"/>
          <w:sz w:val="24"/>
          <w:szCs w:val="24"/>
        </w:rPr>
        <w:t>-20</w:t>
      </w:r>
      <w:r w:rsidR="009E10AC" w:rsidRPr="00A72C9C">
        <w:rPr>
          <w:rFonts w:ascii="Times New Roman" w:hAnsi="Times New Roman" w:cs="Times New Roman"/>
          <w:sz w:val="24"/>
          <w:szCs w:val="24"/>
        </w:rPr>
        <w:t xml:space="preserve">20 </w:t>
      </w:r>
      <w:r w:rsidRPr="00A72C9C">
        <w:rPr>
          <w:rFonts w:ascii="Times New Roman" w:hAnsi="Times New Roman" w:cs="Times New Roman"/>
          <w:sz w:val="24"/>
          <w:szCs w:val="24"/>
        </w:rPr>
        <w:t>годы</w:t>
      </w:r>
      <w:r w:rsidR="00DC2D4F">
        <w:rPr>
          <w:rFonts w:ascii="Times New Roman" w:hAnsi="Times New Roman" w:cs="Times New Roman"/>
          <w:sz w:val="24"/>
          <w:szCs w:val="24"/>
        </w:rPr>
        <w:t xml:space="preserve"> и установлено следующее</w:t>
      </w:r>
      <w:r w:rsidRPr="00A72C9C">
        <w:rPr>
          <w:rFonts w:ascii="Times New Roman" w:hAnsi="Times New Roman" w:cs="Times New Roman"/>
          <w:sz w:val="24"/>
          <w:szCs w:val="24"/>
        </w:rPr>
        <w:t>.</w:t>
      </w:r>
      <w:r w:rsidR="0007159A" w:rsidRPr="00A72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997" w:rsidRDefault="00DC2D4F" w:rsidP="00652E88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Томская область по объему налоговых и неналоговых доходов областного бюджета снизилась с 41 места </w:t>
      </w:r>
      <w:r w:rsidR="009A4744">
        <w:rPr>
          <w:rFonts w:ascii="Times New Roman" w:hAnsi="Times New Roman" w:cs="Times New Roman"/>
          <w:sz w:val="24"/>
          <w:szCs w:val="24"/>
        </w:rPr>
        <w:t xml:space="preserve">в 2019 году </w:t>
      </w:r>
      <w:r>
        <w:rPr>
          <w:rFonts w:ascii="Times New Roman" w:hAnsi="Times New Roman" w:cs="Times New Roman"/>
          <w:sz w:val="24"/>
          <w:szCs w:val="24"/>
        </w:rPr>
        <w:t>до 47 места</w:t>
      </w:r>
      <w:r w:rsidR="000C7997">
        <w:rPr>
          <w:rFonts w:ascii="Times New Roman" w:hAnsi="Times New Roman" w:cs="Times New Roman"/>
          <w:sz w:val="24"/>
          <w:szCs w:val="24"/>
        </w:rPr>
        <w:t xml:space="preserve"> в 2020 году. Несмотря на</w:t>
      </w:r>
      <w:r w:rsidR="000C7997" w:rsidRPr="000C7997">
        <w:rPr>
          <w:rFonts w:ascii="Times New Roman" w:hAnsi="Times New Roman" w:cs="Times New Roman"/>
          <w:sz w:val="24"/>
          <w:szCs w:val="24"/>
        </w:rPr>
        <w:t xml:space="preserve"> </w:t>
      </w:r>
      <w:r w:rsidR="000C7997">
        <w:rPr>
          <w:rFonts w:ascii="Times New Roman" w:hAnsi="Times New Roman" w:cs="Times New Roman"/>
          <w:sz w:val="24"/>
          <w:szCs w:val="24"/>
        </w:rPr>
        <w:t>указанное снижение в общем рейтинге субъектов РФ, Томская область по-прежнему остается в середине списка субъектов РФ по объему собственных доходов.</w:t>
      </w:r>
    </w:p>
    <w:p w:rsidR="000C7997" w:rsidRPr="008F512E" w:rsidRDefault="002B72C1" w:rsidP="00652E88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ежегодное увеличение объема государственного долга привело к тому, что по показателю долговой нагрузки </w:t>
      </w:r>
      <w:r w:rsidR="009A4744">
        <w:rPr>
          <w:rFonts w:ascii="Times New Roman" w:hAnsi="Times New Roman" w:cs="Times New Roman"/>
          <w:sz w:val="24"/>
          <w:szCs w:val="24"/>
        </w:rPr>
        <w:t>позиции Томской</w:t>
      </w:r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9A47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12E">
        <w:rPr>
          <w:rFonts w:ascii="Times New Roman" w:hAnsi="Times New Roman" w:cs="Times New Roman"/>
          <w:sz w:val="24"/>
          <w:szCs w:val="24"/>
        </w:rPr>
        <w:t xml:space="preserve">среди субъектов РФ </w:t>
      </w:r>
      <w:r w:rsidR="005244FE">
        <w:rPr>
          <w:rFonts w:ascii="Times New Roman" w:hAnsi="Times New Roman" w:cs="Times New Roman"/>
          <w:sz w:val="24"/>
          <w:szCs w:val="24"/>
        </w:rPr>
        <w:t xml:space="preserve">ухудшаются: </w:t>
      </w:r>
      <w:r w:rsidR="008F512E">
        <w:rPr>
          <w:rFonts w:ascii="Times New Roman" w:hAnsi="Times New Roman" w:cs="Times New Roman"/>
          <w:sz w:val="24"/>
          <w:szCs w:val="24"/>
        </w:rPr>
        <w:t xml:space="preserve">в 2018 году – 34 место, в 2019 году – 23 место, в 2020 году – </w:t>
      </w:r>
      <w:r w:rsidR="00C7150D">
        <w:rPr>
          <w:rFonts w:ascii="Times New Roman" w:hAnsi="Times New Roman" w:cs="Times New Roman"/>
          <w:sz w:val="24"/>
          <w:szCs w:val="24"/>
        </w:rPr>
        <w:t>5</w:t>
      </w:r>
      <w:r w:rsidR="005244F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8F512E">
        <w:rPr>
          <w:rFonts w:ascii="Times New Roman" w:hAnsi="Times New Roman" w:cs="Times New Roman"/>
          <w:sz w:val="24"/>
          <w:szCs w:val="24"/>
        </w:rPr>
        <w:t>.</w:t>
      </w:r>
    </w:p>
    <w:p w:rsidR="008B6BE2" w:rsidRDefault="008B6BE2" w:rsidP="00A84348">
      <w:pPr>
        <w:spacing w:after="0"/>
        <w:ind w:firstLine="686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065A13" w:rsidRPr="00065A13" w:rsidRDefault="00065A13" w:rsidP="00065A13">
      <w:pPr>
        <w:spacing w:after="0"/>
        <w:ind w:firstLine="686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r w:rsidRPr="0006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государственной долговой политики Томской области на 2020 год и на плановый период 2021 и 2022 годов</w:t>
      </w:r>
    </w:p>
    <w:p w:rsidR="00065A13" w:rsidRDefault="00065A13" w:rsidP="00B842F3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Пояснительной записке к Отчету об исполнении областного бюджета за 2020 год указано,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</w:t>
      </w:r>
      <w:r w:rsidRPr="0006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государственным внутренним долгом Томской области осуществлялось в соответствии с основными направлениями долговой политики Томской области на 2020 год и на плановый период 2021 и 2022 годов, утвержденными постановлением Администрации Томской области от 23.12.2019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4"/>
          <w:szCs w:val="24"/>
          <w:lang w:eastAsia="ru-RU"/>
        </w:rPr>
        <w:t>486а.</w:t>
      </w:r>
    </w:p>
    <w:p w:rsidR="00FF7EC4" w:rsidRPr="00FA15C7" w:rsidRDefault="00FF7EC4" w:rsidP="00B842F3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вышеуказанного документа, определяющего долговую политику Томской области в 2020 году, показал, </w:t>
      </w:r>
      <w:r w:rsidRPr="00FA15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положени</w:t>
      </w:r>
      <w:r w:rsidR="00EF3149" w:rsidRPr="00FA15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C5B52" w:rsidRPr="00FA15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достижения целей и решения задач долговой политики</w:t>
      </w:r>
      <w:r w:rsidR="006A0F53" w:rsidRPr="00FA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9C5B52" w:rsidRPr="00FA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формальный характер и не </w:t>
      </w:r>
      <w:r w:rsidR="00FA15C7" w:rsidRPr="00FA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полной мере </w:t>
      </w:r>
      <w:r w:rsidR="009C5B52" w:rsidRPr="00FA1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повышению эффективности управления государственным долгом Томской области.</w:t>
      </w:r>
    </w:p>
    <w:p w:rsidR="006A0F53" w:rsidRDefault="00B842F3" w:rsidP="00B842F3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</w:t>
      </w:r>
      <w:r w:rsidR="006A0F53" w:rsidRPr="00122B1E">
        <w:rPr>
          <w:rFonts w:ascii="Times New Roman" w:hAnsi="Times New Roman" w:cs="Times New Roman"/>
          <w:sz w:val="24"/>
          <w:szCs w:val="24"/>
        </w:rPr>
        <w:t xml:space="preserve"> качестве целей долговой политики</w:t>
      </w:r>
      <w:r w:rsidR="006A0F5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A0F53" w:rsidRPr="00122B1E">
        <w:rPr>
          <w:rFonts w:ascii="Times New Roman" w:hAnsi="Times New Roman" w:cs="Times New Roman"/>
          <w:sz w:val="24"/>
          <w:szCs w:val="24"/>
        </w:rPr>
        <w:t xml:space="preserve"> на </w:t>
      </w:r>
      <w:r w:rsidR="006A0F53">
        <w:rPr>
          <w:rFonts w:ascii="Times New Roman" w:hAnsi="Times New Roman" w:cs="Times New Roman"/>
          <w:sz w:val="24"/>
          <w:szCs w:val="24"/>
        </w:rPr>
        <w:t>2020 год</w:t>
      </w:r>
      <w:r w:rsidR="006A0F53" w:rsidRPr="00122B1E">
        <w:rPr>
          <w:rFonts w:ascii="Times New Roman" w:hAnsi="Times New Roman" w:cs="Times New Roman"/>
          <w:sz w:val="24"/>
          <w:szCs w:val="24"/>
        </w:rPr>
        <w:t xml:space="preserve"> определены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0F53" w:rsidRPr="00122B1E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0F53">
        <w:rPr>
          <w:rFonts w:ascii="Times New Roman" w:hAnsi="Times New Roman" w:cs="Times New Roman"/>
          <w:sz w:val="24"/>
          <w:szCs w:val="24"/>
        </w:rPr>
        <w:t xml:space="preserve"> </w:t>
      </w:r>
      <w:r w:rsidR="006A0F53" w:rsidRPr="006A0F53">
        <w:rPr>
          <w:rFonts w:ascii="Times New Roman" w:hAnsi="Times New Roman" w:cs="Times New Roman"/>
          <w:sz w:val="24"/>
          <w:szCs w:val="24"/>
        </w:rPr>
        <w:t>своевременное исполнение долговых обязательств</w:t>
      </w:r>
      <w:r w:rsidR="006A0F53">
        <w:rPr>
          <w:rFonts w:ascii="Times New Roman" w:hAnsi="Times New Roman" w:cs="Times New Roman"/>
          <w:sz w:val="24"/>
          <w:szCs w:val="24"/>
        </w:rPr>
        <w:t xml:space="preserve">, </w:t>
      </w:r>
      <w:r w:rsidR="006A0F53" w:rsidRPr="006A0F53">
        <w:rPr>
          <w:rFonts w:ascii="Times New Roman" w:hAnsi="Times New Roman" w:cs="Times New Roman"/>
          <w:sz w:val="24"/>
          <w:szCs w:val="24"/>
        </w:rPr>
        <w:t>развитие регионального рынка ценных бумаг</w:t>
      </w:r>
      <w:r w:rsidR="006A0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F53" w:rsidRDefault="006A0F53" w:rsidP="00B842F3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долговой политики на 2020 год являлись в </w:t>
      </w:r>
      <w:r w:rsidRPr="00122B1E">
        <w:rPr>
          <w:rFonts w:ascii="Times New Roman" w:hAnsi="Times New Roman" w:cs="Times New Roman"/>
          <w:sz w:val="24"/>
          <w:szCs w:val="24"/>
        </w:rPr>
        <w:t>том числе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управления государственным долгом, развитие рыночных форм заимствований, обеспечение раскрытия информации о государственном долге.</w:t>
      </w:r>
    </w:p>
    <w:p w:rsidR="006A0F53" w:rsidRDefault="006A0F53" w:rsidP="00B842F3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критерии (показатели) достижения указанных целей и задач</w:t>
      </w:r>
      <w:r w:rsidR="00034DEA">
        <w:rPr>
          <w:rFonts w:ascii="Times New Roman" w:hAnsi="Times New Roman" w:cs="Times New Roman"/>
          <w:sz w:val="24"/>
          <w:szCs w:val="24"/>
        </w:rPr>
        <w:t>, позволяющие оценить степень их решения,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установлены. </w:t>
      </w:r>
    </w:p>
    <w:p w:rsidR="00BA3C68" w:rsidRDefault="00BA3C68" w:rsidP="00BA3C68">
      <w:pPr>
        <w:spacing w:after="0"/>
        <w:ind w:firstLine="686"/>
        <w:rPr>
          <w:rFonts w:ascii="Times New Roman" w:hAnsi="Times New Roman" w:cs="Times New Roman"/>
          <w:sz w:val="24"/>
          <w:szCs w:val="24"/>
        </w:rPr>
      </w:pPr>
    </w:p>
    <w:p w:rsidR="001C6E3B" w:rsidRPr="001C6E3B" w:rsidRDefault="001C6E3B" w:rsidP="001C6E3B">
      <w:pPr>
        <w:spacing w:after="0"/>
        <w:ind w:firstLine="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E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Выполнение </w:t>
      </w:r>
      <w:r w:rsidR="00BA3C68" w:rsidRPr="001C6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реструктуризации задолженности Томской области перед Российской Федерацией по бюджетным кредитам</w:t>
      </w:r>
    </w:p>
    <w:p w:rsidR="005616B0" w:rsidRDefault="001C6E3B" w:rsidP="00253BED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A3C68"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Постановлением Правительства Российской Федерации от 13.12.2017 </w:t>
      </w:r>
      <w:r w:rsid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A3C68"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1531 </w:t>
      </w:r>
      <w:r w:rsid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3C68"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3C68"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заключенными соглашениями </w:t>
      </w:r>
      <w:r w:rsidR="0056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бюджету Томской области из федерального бюджета бюджетных кредитов (с учетом дополнительных соглашений) реструктуризация задолженности по бюджетным кредитам, проводится при условии выполнения Томской областью обязательств, в т.ч.: </w:t>
      </w:r>
    </w:p>
    <w:p w:rsidR="00BA3C68" w:rsidRPr="00BA3C68" w:rsidRDefault="00BA3C68" w:rsidP="00253BED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доли общего объема государственного долга</w:t>
      </w:r>
      <w:r w:rsidR="0056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суммы доходов областного бюджета без учета безвозмездных поступлений на 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64 процентов на 1 января 2021 года;</w:t>
      </w:r>
    </w:p>
    <w:p w:rsidR="00BA3C68" w:rsidRPr="00BA3C68" w:rsidRDefault="00BA3C68" w:rsidP="00253BED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доли общего объема долговых обязательств</w:t>
      </w:r>
      <w:r w:rsidR="005616B0" w:rsidRPr="0056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государственным ценным бумагам и кредитам, полученным от кредитных организаций, от суммы доходов областного бюджета без учета безвозмездных поступлений на 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50 </w:t>
      </w:r>
      <w:r w:rsidR="00F42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на 1 января 2021 года.</w:t>
      </w:r>
    </w:p>
    <w:p w:rsidR="005616B0" w:rsidRPr="005616B0" w:rsidRDefault="00253BED" w:rsidP="00253BED">
      <w:pPr>
        <w:spacing w:after="0" w:line="240" w:lineRule="auto"/>
        <w:ind w:firstLine="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616B0" w:rsidRPr="0025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Пояснительной записке к Отчету об исполнении областного бюджета за 2020 год информация о выполнении обязательств Томской области перед Министерством финансов РФ</w:t>
      </w:r>
      <w:r w:rsidR="00561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6B0" w:rsidRPr="00561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отсутствует. </w:t>
      </w:r>
    </w:p>
    <w:p w:rsidR="00730791" w:rsidRDefault="00F12D90" w:rsidP="00253BED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п.10 Правил 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реструктуризации обязательств (задолженности) субъектов Российской Федерации перед Российской Федерацией по бюджетным кредитам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п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13.12.2017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оценке исполнения должником обязательств по итогам 2020 года, предусмотренных подпунктами </w:t>
      </w:r>
      <w:r w:rsid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11 и подпунктами </w:t>
      </w:r>
      <w:r w:rsid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1E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01E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01E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12(1) </w:t>
      </w:r>
      <w:r w:rsidR="00301E1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объем государственного долга субъекта Российской Федерации и общий объем долговых обязательств по рыночным заимствованиям </w:t>
      </w:r>
      <w:r w:rsidR="00730791" w:rsidRPr="00253B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могут превысить</w:t>
      </w:r>
      <w:r w:rsidR="00730791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дополнительным соглашением показатели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на сумму снижения налоговых и неналоговых доходов бюджета субъекта Российской Федерации по сравнению с 2019 годом.</w:t>
      </w:r>
    </w:p>
    <w:p w:rsidR="000A7A0C" w:rsidRDefault="000A7A0C" w:rsidP="00253BED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F1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значениях с учетом допустимого превышения,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 w:rsidR="00F12D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показателей за 2020 год</w:t>
      </w:r>
      <w:r w:rsidR="006E56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ниже в таблице.</w:t>
      </w:r>
    </w:p>
    <w:p w:rsidR="00253BED" w:rsidRDefault="00253BED" w:rsidP="00253BED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8" w:type="dxa"/>
        <w:tblInd w:w="23" w:type="dxa"/>
        <w:tblLook w:val="04A0" w:firstRow="1" w:lastRow="0" w:firstColumn="1" w:lastColumn="0" w:noHBand="0" w:noVBand="1"/>
      </w:tblPr>
      <w:tblGrid>
        <w:gridCol w:w="4934"/>
        <w:gridCol w:w="2268"/>
        <w:gridCol w:w="2126"/>
      </w:tblGrid>
      <w:tr w:rsidR="00F12D90" w:rsidRPr="0081680B" w:rsidTr="00F12D90">
        <w:tc>
          <w:tcPr>
            <w:tcW w:w="4934" w:type="dxa"/>
            <w:vAlign w:val="center"/>
          </w:tcPr>
          <w:p w:rsidR="00F12D90" w:rsidRPr="00F12D90" w:rsidRDefault="00F12D90" w:rsidP="0081680B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9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показателей, предусмотренных соглашениями с Минфином РФ</w:t>
            </w:r>
          </w:p>
        </w:tc>
        <w:tc>
          <w:tcPr>
            <w:tcW w:w="2268" w:type="dxa"/>
            <w:vAlign w:val="center"/>
          </w:tcPr>
          <w:p w:rsidR="00F12D90" w:rsidRPr="00F12D90" w:rsidRDefault="00F12D90" w:rsidP="00F12D90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90">
              <w:rPr>
                <w:rFonts w:ascii="Times New Roman" w:eastAsia="Times New Roman" w:hAnsi="Times New Roman" w:cs="Times New Roman"/>
                <w:b/>
                <w:lang w:eastAsia="ru-RU"/>
              </w:rPr>
              <w:t>Допустимое превышение</w:t>
            </w:r>
          </w:p>
        </w:tc>
        <w:tc>
          <w:tcPr>
            <w:tcW w:w="2126" w:type="dxa"/>
            <w:vAlign w:val="center"/>
          </w:tcPr>
          <w:p w:rsidR="00F12D90" w:rsidRPr="00F12D90" w:rsidRDefault="00F12D90" w:rsidP="00D65D01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90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 итогам 2020 года</w:t>
            </w:r>
          </w:p>
        </w:tc>
      </w:tr>
      <w:tr w:rsidR="00F12D90" w:rsidRPr="0081680B" w:rsidTr="00F12D90">
        <w:tc>
          <w:tcPr>
            <w:tcW w:w="4934" w:type="dxa"/>
          </w:tcPr>
          <w:p w:rsidR="00F12D90" w:rsidRPr="00F12D90" w:rsidRDefault="00F12D90" w:rsidP="0081680B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9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доли общего объема государственного долга Томской области от суммы доходов областного бюджета без учета безвозмездных поступлений на уровне </w:t>
            </w:r>
            <w:r w:rsidRPr="00F12D90">
              <w:rPr>
                <w:rFonts w:ascii="Times New Roman" w:eastAsia="Times New Roman" w:hAnsi="Times New Roman" w:cs="Times New Roman"/>
                <w:b/>
                <w:lang w:eastAsia="ru-RU"/>
              </w:rPr>
              <w:t>не более 64%</w:t>
            </w:r>
            <w:r w:rsidRPr="00F12D90">
              <w:rPr>
                <w:rFonts w:ascii="Times New Roman" w:eastAsia="Times New Roman" w:hAnsi="Times New Roman" w:cs="Times New Roman"/>
                <w:lang w:eastAsia="ru-RU"/>
              </w:rPr>
              <w:t xml:space="preserve"> на 1 января 2021 года</w:t>
            </w:r>
          </w:p>
        </w:tc>
        <w:tc>
          <w:tcPr>
            <w:tcW w:w="2268" w:type="dxa"/>
            <w:vAlign w:val="center"/>
          </w:tcPr>
          <w:p w:rsidR="00F12D90" w:rsidRPr="00F12D90" w:rsidRDefault="00F12D90" w:rsidP="00F12D90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90">
              <w:rPr>
                <w:rFonts w:ascii="Times New Roman" w:eastAsia="Times New Roman" w:hAnsi="Times New Roman" w:cs="Times New Roman"/>
                <w:b/>
                <w:lang w:eastAsia="ru-RU"/>
              </w:rPr>
              <w:t>не более 77%</w:t>
            </w:r>
          </w:p>
        </w:tc>
        <w:tc>
          <w:tcPr>
            <w:tcW w:w="2126" w:type="dxa"/>
            <w:vAlign w:val="center"/>
          </w:tcPr>
          <w:p w:rsidR="00F12D90" w:rsidRPr="00F12D90" w:rsidRDefault="00F12D90" w:rsidP="0081680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90">
              <w:rPr>
                <w:rFonts w:ascii="Times New Roman" w:eastAsia="Times New Roman" w:hAnsi="Times New Roman" w:cs="Times New Roman"/>
                <w:b/>
                <w:lang w:eastAsia="ru-RU"/>
              </w:rPr>
              <w:t>93%</w:t>
            </w:r>
          </w:p>
        </w:tc>
      </w:tr>
      <w:tr w:rsidR="00F12D90" w:rsidRPr="0081680B" w:rsidTr="00F12D90">
        <w:tc>
          <w:tcPr>
            <w:tcW w:w="4934" w:type="dxa"/>
          </w:tcPr>
          <w:p w:rsidR="00F12D90" w:rsidRPr="00F12D90" w:rsidRDefault="00F12D90" w:rsidP="0081680B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D9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доли общего объема долговых обязательств Томской области по государственным ценным бумагам и кредитам, полученным от кредитных организаций, от суммы доходов областного бюджета без учета безвозмездных поступлений на уровне </w:t>
            </w:r>
            <w:r w:rsidRPr="00F12D90">
              <w:rPr>
                <w:rFonts w:ascii="Times New Roman" w:eastAsia="Times New Roman" w:hAnsi="Times New Roman" w:cs="Times New Roman"/>
                <w:b/>
                <w:lang w:eastAsia="ru-RU"/>
              </w:rPr>
              <w:t>не более 50%</w:t>
            </w:r>
            <w:r w:rsidRPr="00F12D90">
              <w:rPr>
                <w:rFonts w:ascii="Times New Roman" w:eastAsia="Times New Roman" w:hAnsi="Times New Roman" w:cs="Times New Roman"/>
                <w:lang w:eastAsia="ru-RU"/>
              </w:rPr>
              <w:t xml:space="preserve"> на 1 января 2021 года</w:t>
            </w:r>
          </w:p>
        </w:tc>
        <w:tc>
          <w:tcPr>
            <w:tcW w:w="2268" w:type="dxa"/>
            <w:vAlign w:val="center"/>
          </w:tcPr>
          <w:p w:rsidR="00F12D90" w:rsidRPr="00F12D90" w:rsidRDefault="00F12D90" w:rsidP="00F12D90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90">
              <w:rPr>
                <w:rFonts w:ascii="Times New Roman" w:eastAsia="Times New Roman" w:hAnsi="Times New Roman" w:cs="Times New Roman"/>
                <w:b/>
                <w:lang w:eastAsia="ru-RU"/>
              </w:rPr>
              <w:t>не более 63%</w:t>
            </w:r>
          </w:p>
        </w:tc>
        <w:tc>
          <w:tcPr>
            <w:tcW w:w="2126" w:type="dxa"/>
            <w:vAlign w:val="center"/>
          </w:tcPr>
          <w:p w:rsidR="00F12D90" w:rsidRPr="00F12D90" w:rsidRDefault="00F12D90" w:rsidP="0081680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D90">
              <w:rPr>
                <w:rFonts w:ascii="Times New Roman" w:eastAsia="Times New Roman" w:hAnsi="Times New Roman" w:cs="Times New Roman"/>
                <w:b/>
                <w:lang w:eastAsia="ru-RU"/>
              </w:rPr>
              <w:t>67%</w:t>
            </w:r>
          </w:p>
        </w:tc>
      </w:tr>
    </w:tbl>
    <w:p w:rsidR="00253BED" w:rsidRDefault="00253BED" w:rsidP="00F42DA1">
      <w:pPr>
        <w:spacing w:after="0"/>
        <w:ind w:firstLine="686"/>
        <w:rPr>
          <w:rFonts w:ascii="Times New Roman" w:hAnsi="Times New Roman" w:cs="Times New Roman"/>
          <w:sz w:val="24"/>
          <w:szCs w:val="24"/>
        </w:rPr>
      </w:pPr>
    </w:p>
    <w:p w:rsidR="00F42DA1" w:rsidRPr="00253BED" w:rsidRDefault="00F42DA1" w:rsidP="00253BED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A1">
        <w:rPr>
          <w:rFonts w:ascii="Times New Roman" w:hAnsi="Times New Roman" w:cs="Times New Roman"/>
          <w:sz w:val="24"/>
          <w:szCs w:val="24"/>
        </w:rPr>
        <w:lastRenderedPageBreak/>
        <w:t>Из информации, представленной в таблице, следует</w:t>
      </w:r>
      <w:r w:rsidR="00253BED">
        <w:rPr>
          <w:rFonts w:ascii="Times New Roman" w:hAnsi="Times New Roman" w:cs="Times New Roman"/>
          <w:sz w:val="24"/>
          <w:szCs w:val="24"/>
        </w:rPr>
        <w:t>,</w:t>
      </w:r>
      <w:r w:rsidRPr="00F42DA1">
        <w:rPr>
          <w:rFonts w:ascii="Times New Roman" w:hAnsi="Times New Roman" w:cs="Times New Roman"/>
          <w:sz w:val="24"/>
          <w:szCs w:val="24"/>
        </w:rPr>
        <w:t xml:space="preserve"> что</w:t>
      </w:r>
      <w:r w:rsidRPr="00F42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итогу 2020 года не были выполнены </w:t>
      </w:r>
      <w:r w:rsidRPr="00253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условия реструктуризации задолженности Томской области перед Российской Федерацией по бюджетным кредитам</w:t>
      </w:r>
      <w:r w:rsidR="00021F34" w:rsidRPr="00253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DA1" w:rsidRDefault="00F42DA1" w:rsidP="008801B4">
      <w:pPr>
        <w:spacing w:after="0"/>
        <w:ind w:firstLine="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1B4" w:rsidRPr="00065A13" w:rsidRDefault="008801B4" w:rsidP="00FE3A81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на обслуживание государственного долга</w:t>
      </w:r>
    </w:p>
    <w:p w:rsidR="00494C37" w:rsidRPr="00FE3A81" w:rsidRDefault="00BF549E" w:rsidP="00FE3A81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49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 расходам на обслуживание государственного долга в 20</w:t>
      </w:r>
      <w:r w:rsidR="00494C37" w:rsidRPr="00494C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9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494C37">
        <w:rPr>
          <w:rFonts w:ascii="Times New Roman" w:hAnsi="Times New Roman" w:cs="Times New Roman"/>
          <w:sz w:val="24"/>
          <w:szCs w:val="24"/>
        </w:rPr>
        <w:t>составило 1</w:t>
      </w:r>
      <w:r w:rsidR="00494C37" w:rsidRPr="00494C37">
        <w:rPr>
          <w:rFonts w:ascii="Times New Roman" w:hAnsi="Times New Roman" w:cs="Times New Roman"/>
          <w:sz w:val="24"/>
          <w:szCs w:val="24"/>
        </w:rPr>
        <w:t> 994 134</w:t>
      </w:r>
      <w:r w:rsidRPr="00494C37">
        <w:rPr>
          <w:rFonts w:ascii="Times New Roman" w:hAnsi="Times New Roman" w:cs="Times New Roman"/>
          <w:sz w:val="24"/>
          <w:szCs w:val="24"/>
        </w:rPr>
        <w:t xml:space="preserve"> тыс.руб. или </w:t>
      </w:r>
      <w:r w:rsidR="00494C37" w:rsidRPr="00494C37">
        <w:rPr>
          <w:rFonts w:ascii="Times New Roman" w:hAnsi="Times New Roman" w:cs="Times New Roman"/>
          <w:sz w:val="24"/>
          <w:szCs w:val="24"/>
        </w:rPr>
        <w:t>93</w:t>
      </w:r>
      <w:r w:rsidR="00FE3A81">
        <w:rPr>
          <w:rFonts w:ascii="Times New Roman" w:hAnsi="Times New Roman" w:cs="Times New Roman"/>
          <w:sz w:val="24"/>
          <w:szCs w:val="24"/>
        </w:rPr>
        <w:t xml:space="preserve">% от плана и </w:t>
      </w:r>
      <w:r w:rsidR="0014161B" w:rsidRPr="00FE3A81">
        <w:rPr>
          <w:rFonts w:ascii="Times New Roman" w:hAnsi="Times New Roman" w:cs="Times New Roman"/>
          <w:sz w:val="24"/>
          <w:szCs w:val="24"/>
        </w:rPr>
        <w:t>составили 2,</w:t>
      </w:r>
      <w:r w:rsidR="00494C37" w:rsidRPr="00FE3A81">
        <w:rPr>
          <w:rFonts w:ascii="Times New Roman" w:hAnsi="Times New Roman" w:cs="Times New Roman"/>
          <w:sz w:val="24"/>
          <w:szCs w:val="24"/>
        </w:rPr>
        <w:t>3</w:t>
      </w:r>
      <w:r w:rsidR="0014161B" w:rsidRPr="00FE3A81">
        <w:rPr>
          <w:rFonts w:ascii="Times New Roman" w:hAnsi="Times New Roman" w:cs="Times New Roman"/>
          <w:sz w:val="24"/>
          <w:szCs w:val="24"/>
        </w:rPr>
        <w:t>% от общих расходов областного бюджета в 20</w:t>
      </w:r>
      <w:r w:rsidR="00494C37" w:rsidRPr="00FE3A81">
        <w:rPr>
          <w:rFonts w:ascii="Times New Roman" w:hAnsi="Times New Roman" w:cs="Times New Roman"/>
          <w:sz w:val="24"/>
          <w:szCs w:val="24"/>
        </w:rPr>
        <w:t>20</w:t>
      </w:r>
      <w:r w:rsidR="0014161B" w:rsidRPr="00FE3A81">
        <w:rPr>
          <w:rFonts w:ascii="Times New Roman" w:hAnsi="Times New Roman" w:cs="Times New Roman"/>
          <w:sz w:val="24"/>
          <w:szCs w:val="24"/>
        </w:rPr>
        <w:t xml:space="preserve"> году</w:t>
      </w:r>
      <w:r w:rsidR="00494C37" w:rsidRPr="00FE3A81">
        <w:rPr>
          <w:rFonts w:ascii="Times New Roman" w:hAnsi="Times New Roman" w:cs="Times New Roman"/>
          <w:sz w:val="24"/>
          <w:szCs w:val="24"/>
        </w:rPr>
        <w:t>.</w:t>
      </w:r>
    </w:p>
    <w:p w:rsidR="00C110FE" w:rsidRDefault="00494C37" w:rsidP="00FE3A81">
      <w:pPr>
        <w:pStyle w:val="Textbody"/>
        <w:tabs>
          <w:tab w:val="left" w:pos="9900"/>
          <w:tab w:val="left" w:pos="10080"/>
        </w:tabs>
        <w:spacing w:after="0"/>
        <w:ind w:firstLine="709"/>
        <w:jc w:val="both"/>
        <w:rPr>
          <w:shd w:val="clear" w:color="auto" w:fill="FFFFFF"/>
        </w:rPr>
      </w:pPr>
      <w:r w:rsidRPr="00494C37">
        <w:t>В Пояснительной записке к Отчету об исполнении областного бюджета за 2020 год</w:t>
      </w:r>
      <w:r w:rsidR="0014161B" w:rsidRPr="00494C37">
        <w:t xml:space="preserve"> </w:t>
      </w:r>
      <w:r w:rsidRPr="00494C37">
        <w:rPr>
          <w:shd w:val="clear" w:color="auto" w:fill="FFFFFF"/>
        </w:rPr>
        <w:t xml:space="preserve">указано, что предельное значение, установленное Бюджетным кодексом РФ (15%), не превышено. </w:t>
      </w:r>
      <w:r w:rsidR="00C110FE" w:rsidRPr="00494C37">
        <w:rPr>
          <w:shd w:val="clear" w:color="auto" w:fill="FFFFFF"/>
        </w:rPr>
        <w:t xml:space="preserve"> </w:t>
      </w:r>
    </w:p>
    <w:p w:rsidR="008801B4" w:rsidRPr="00CE2B15" w:rsidRDefault="00CE2B15" w:rsidP="00FE3A81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обратить внимание, что п</w:t>
      </w:r>
      <w:r w:rsidR="00FA5A65" w:rsidRPr="008801B4">
        <w:rPr>
          <w:rFonts w:ascii="Times New Roman" w:hAnsi="Times New Roman" w:cs="Times New Roman"/>
          <w:sz w:val="24"/>
          <w:szCs w:val="24"/>
        </w:rPr>
        <w:t>ри низком значении</w:t>
      </w:r>
      <w:r w:rsidR="008801B4">
        <w:rPr>
          <w:rFonts w:ascii="Times New Roman" w:hAnsi="Times New Roman" w:cs="Times New Roman"/>
          <w:sz w:val="24"/>
          <w:szCs w:val="24"/>
        </w:rPr>
        <w:t xml:space="preserve"> (2,3%)</w:t>
      </w:r>
      <w:r w:rsidR="008801B4" w:rsidRPr="008801B4">
        <w:rPr>
          <w:rFonts w:ascii="Times New Roman" w:hAnsi="Times New Roman" w:cs="Times New Roman"/>
          <w:sz w:val="24"/>
          <w:szCs w:val="24"/>
        </w:rPr>
        <w:t xml:space="preserve"> относительного показателя «отношение объема расходов на обслуживание государственного долга</w:t>
      </w:r>
      <w:r w:rsidR="008801B4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8801B4" w:rsidRPr="008801B4">
        <w:rPr>
          <w:rFonts w:ascii="Times New Roman" w:hAnsi="Times New Roman" w:cs="Times New Roman"/>
          <w:sz w:val="24"/>
          <w:szCs w:val="24"/>
        </w:rPr>
        <w:t xml:space="preserve"> к общ</w:t>
      </w:r>
      <w:r w:rsidR="008801B4">
        <w:rPr>
          <w:rFonts w:ascii="Times New Roman" w:hAnsi="Times New Roman" w:cs="Times New Roman"/>
          <w:sz w:val="24"/>
          <w:szCs w:val="24"/>
        </w:rPr>
        <w:t>ему</w:t>
      </w:r>
      <w:r w:rsidR="008801B4" w:rsidRPr="008801B4">
        <w:rPr>
          <w:rFonts w:ascii="Times New Roman" w:hAnsi="Times New Roman" w:cs="Times New Roman"/>
          <w:sz w:val="24"/>
          <w:szCs w:val="24"/>
        </w:rPr>
        <w:t xml:space="preserve"> объему расходов»</w:t>
      </w:r>
      <w:r w:rsidR="00EF3149">
        <w:rPr>
          <w:rFonts w:ascii="Times New Roman" w:hAnsi="Times New Roman" w:cs="Times New Roman"/>
          <w:sz w:val="24"/>
          <w:szCs w:val="24"/>
        </w:rPr>
        <w:t>,</w:t>
      </w:r>
      <w:r w:rsidR="008801B4" w:rsidRPr="008801B4">
        <w:rPr>
          <w:rFonts w:ascii="Times New Roman" w:hAnsi="Times New Roman" w:cs="Times New Roman"/>
          <w:sz w:val="24"/>
          <w:szCs w:val="24"/>
        </w:rPr>
        <w:t xml:space="preserve"> по сравнению с предельно допустимым</w:t>
      </w:r>
      <w:r w:rsidR="008801B4">
        <w:rPr>
          <w:rFonts w:ascii="Times New Roman" w:hAnsi="Times New Roman" w:cs="Times New Roman"/>
          <w:sz w:val="24"/>
          <w:szCs w:val="24"/>
        </w:rPr>
        <w:t xml:space="preserve"> (15%)</w:t>
      </w:r>
      <w:r w:rsidR="008801B4" w:rsidRPr="008801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тем не менее, </w:t>
      </w:r>
      <w:r w:rsidR="008801B4" w:rsidRPr="00CE2B15">
        <w:rPr>
          <w:rFonts w:ascii="Times New Roman" w:hAnsi="Times New Roman" w:cs="Times New Roman"/>
          <w:sz w:val="24"/>
          <w:szCs w:val="24"/>
        </w:rPr>
        <w:t>Томская область занимает 4 место среди всех субъектов РФ</w:t>
      </w:r>
      <w:r w:rsidRPr="00CE2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самое высокое в Сибирском федеральном округе</w:t>
      </w:r>
      <w:r w:rsidR="008801B4" w:rsidRPr="00CE2B15">
        <w:rPr>
          <w:rFonts w:ascii="Times New Roman" w:hAnsi="Times New Roman" w:cs="Times New Roman"/>
          <w:sz w:val="24"/>
          <w:szCs w:val="24"/>
        </w:rPr>
        <w:t>.</w:t>
      </w:r>
    </w:p>
    <w:p w:rsidR="00CE2B15" w:rsidRDefault="00CE2B15" w:rsidP="00FE3A81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60"/>
        <w:gridCol w:w="2270"/>
        <w:gridCol w:w="1985"/>
        <w:gridCol w:w="2133"/>
        <w:gridCol w:w="2403"/>
      </w:tblGrid>
      <w:tr w:rsidR="008D546D" w:rsidRPr="008D546D" w:rsidTr="008D546D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Субъект СФО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Общий объем расходов, тыс.руб.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расходов на обслуживание государственного долга, тыс.руб.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Отношение расходов на обслуживание государственного долга к общему объему расходов, %</w:t>
            </w:r>
            <w:r w:rsidRPr="003B2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*</w:t>
            </w:r>
          </w:p>
        </w:tc>
      </w:tr>
      <w:tr w:rsidR="008D546D" w:rsidRPr="008D546D" w:rsidTr="008D54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b/>
                <w:lang w:eastAsia="ru-RU"/>
              </w:rPr>
              <w:t>Томская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b/>
                <w:lang w:eastAsia="ru-RU"/>
              </w:rPr>
              <w:t>86 228 869,8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b/>
                <w:lang w:eastAsia="ru-RU"/>
              </w:rPr>
              <w:t>1 994 134,0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2,3%</w:t>
            </w:r>
          </w:p>
        </w:tc>
      </w:tr>
      <w:tr w:rsidR="008D546D" w:rsidRPr="008D546D" w:rsidTr="008D54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Республика Хакасия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42 171 391,8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832 616,3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2,0%</w:t>
            </w:r>
          </w:p>
        </w:tc>
      </w:tr>
      <w:tr w:rsidR="008D546D" w:rsidRPr="008D546D" w:rsidTr="008D54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288 308 813,9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5 132 932,4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1,8%</w:t>
            </w:r>
          </w:p>
        </w:tc>
      </w:tr>
      <w:tr w:rsidR="008D546D" w:rsidRPr="008D546D" w:rsidTr="008D54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Омская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116 805 232,6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1 254 883,4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1,1%</w:t>
            </w:r>
          </w:p>
        </w:tc>
      </w:tr>
      <w:tr w:rsidR="008D546D" w:rsidRPr="008D546D" w:rsidTr="005B489B">
        <w:trPr>
          <w:trHeight w:val="3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199 168 615,7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1 545 037,3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0,8%</w:t>
            </w:r>
          </w:p>
        </w:tc>
      </w:tr>
      <w:tr w:rsidR="008D546D" w:rsidRPr="008D546D" w:rsidTr="005B489B">
        <w:trPr>
          <w:trHeight w:val="2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Кемеровская область - Кузбасс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206 501 489,9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922 423,1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0,4%</w:t>
            </w:r>
          </w:p>
        </w:tc>
      </w:tr>
      <w:tr w:rsidR="008D546D" w:rsidRPr="008D546D" w:rsidTr="008D54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Иркутская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223 797 915,3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588 401,6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0,3%</w:t>
            </w:r>
          </w:p>
        </w:tc>
      </w:tr>
      <w:tr w:rsidR="008D546D" w:rsidRPr="008D546D" w:rsidTr="008D54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Республика Тыва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46 270 849,6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20 218,6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8D546D" w:rsidRPr="008D546D" w:rsidTr="008D54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Республика Алтай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27 795 635,9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2 188,2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8D546D" w:rsidRPr="008D546D" w:rsidTr="008D54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128 947 456,3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lang w:eastAsia="ru-RU"/>
              </w:rPr>
              <w:t>1 852,8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46D" w:rsidRPr="008D546D" w:rsidRDefault="008D546D" w:rsidP="008D54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</w:tbl>
    <w:p w:rsidR="008D546D" w:rsidRDefault="008D546D" w:rsidP="00FA5A65">
      <w:pPr>
        <w:spacing w:after="0"/>
        <w:ind w:firstLine="686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D546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* при расчете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относительного показателя из общего объема расходов не исключался объем расходов, осуществленный за счет субвенций.</w:t>
      </w:r>
    </w:p>
    <w:p w:rsidR="008D546D" w:rsidRPr="008D546D" w:rsidRDefault="008D546D" w:rsidP="00FA5A65">
      <w:pPr>
        <w:spacing w:after="0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Справочно: Среднее значение относительного показателя </w:t>
      </w:r>
      <w:r w:rsidR="003B2A8B" w:rsidRPr="008801B4">
        <w:rPr>
          <w:rFonts w:ascii="Times New Roman" w:hAnsi="Times New Roman" w:cs="Times New Roman"/>
          <w:sz w:val="24"/>
          <w:szCs w:val="24"/>
        </w:rPr>
        <w:t>«отношение объема расходов на обслуживание государственного долга</w:t>
      </w:r>
      <w:r w:rsidR="003B2A8B">
        <w:rPr>
          <w:rFonts w:ascii="Times New Roman" w:hAnsi="Times New Roman" w:cs="Times New Roman"/>
          <w:sz w:val="24"/>
          <w:szCs w:val="24"/>
        </w:rPr>
        <w:t xml:space="preserve"> </w:t>
      </w:r>
      <w:r w:rsidR="003B2A8B" w:rsidRPr="008801B4">
        <w:rPr>
          <w:rFonts w:ascii="Times New Roman" w:hAnsi="Times New Roman" w:cs="Times New Roman"/>
          <w:sz w:val="24"/>
          <w:szCs w:val="24"/>
        </w:rPr>
        <w:t>к общ</w:t>
      </w:r>
      <w:r w:rsidR="003B2A8B">
        <w:rPr>
          <w:rFonts w:ascii="Times New Roman" w:hAnsi="Times New Roman" w:cs="Times New Roman"/>
          <w:sz w:val="24"/>
          <w:szCs w:val="24"/>
        </w:rPr>
        <w:t>ему</w:t>
      </w:r>
      <w:r w:rsidR="003B2A8B" w:rsidRPr="008801B4">
        <w:rPr>
          <w:rFonts w:ascii="Times New Roman" w:hAnsi="Times New Roman" w:cs="Times New Roman"/>
          <w:sz w:val="24"/>
          <w:szCs w:val="24"/>
        </w:rPr>
        <w:t xml:space="preserve"> объему расходов»</w:t>
      </w:r>
      <w:r w:rsidR="003B2A8B">
        <w:rPr>
          <w:rFonts w:ascii="Times New Roman" w:hAnsi="Times New Roman" w:cs="Times New Roman"/>
          <w:sz w:val="24"/>
          <w:szCs w:val="24"/>
        </w:rPr>
        <w:t xml:space="preserve"> всех субъектов РФ </w:t>
      </w:r>
      <w:r w:rsidR="003B2A8B" w:rsidRPr="00CE2B15">
        <w:rPr>
          <w:rFonts w:ascii="Times New Roman" w:hAnsi="Times New Roman" w:cs="Times New Roman"/>
          <w:sz w:val="24"/>
          <w:szCs w:val="24"/>
          <w:u w:val="single"/>
        </w:rPr>
        <w:t>составляет 0,6%.</w:t>
      </w:r>
      <w:r w:rsidR="00230865" w:rsidRPr="008D5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1B4" w:rsidRPr="008D546D" w:rsidRDefault="008801B4" w:rsidP="00FA5A65">
      <w:pPr>
        <w:spacing w:after="0"/>
        <w:ind w:firstLine="686"/>
        <w:rPr>
          <w:rFonts w:ascii="Times New Roman" w:hAnsi="Times New Roman" w:cs="Times New Roman"/>
          <w:sz w:val="24"/>
          <w:szCs w:val="24"/>
        </w:rPr>
      </w:pPr>
      <w:r w:rsidRPr="008D54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A3A" w:rsidRPr="00FA5A65" w:rsidRDefault="00764A3A" w:rsidP="00FA5A65">
      <w:pPr>
        <w:spacing w:after="0"/>
        <w:ind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4A3A" w:rsidRPr="00FA5A65" w:rsidSect="009A474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F1" w:rsidRDefault="003F31F1" w:rsidP="009A4744">
      <w:pPr>
        <w:spacing w:after="0" w:line="240" w:lineRule="auto"/>
      </w:pPr>
      <w:r>
        <w:separator/>
      </w:r>
    </w:p>
  </w:endnote>
  <w:endnote w:type="continuationSeparator" w:id="0">
    <w:p w:rsidR="003F31F1" w:rsidRDefault="003F31F1" w:rsidP="009A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F1" w:rsidRDefault="003F31F1" w:rsidP="009A4744">
      <w:pPr>
        <w:spacing w:after="0" w:line="240" w:lineRule="auto"/>
      </w:pPr>
      <w:r>
        <w:separator/>
      </w:r>
    </w:p>
  </w:footnote>
  <w:footnote w:type="continuationSeparator" w:id="0">
    <w:p w:rsidR="003F31F1" w:rsidRDefault="003F31F1" w:rsidP="009A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040402"/>
      <w:docPartObj>
        <w:docPartGallery w:val="Page Numbers (Top of Page)"/>
        <w:docPartUnique/>
      </w:docPartObj>
    </w:sdtPr>
    <w:sdtEndPr/>
    <w:sdtContent>
      <w:p w:rsidR="009A4744" w:rsidRDefault="009A47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13">
          <w:rPr>
            <w:noProof/>
          </w:rPr>
          <w:t>4</w:t>
        </w:r>
        <w:r>
          <w:fldChar w:fldCharType="end"/>
        </w:r>
      </w:p>
    </w:sdtContent>
  </w:sdt>
  <w:p w:rsidR="009A4744" w:rsidRDefault="009A47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18"/>
    <w:rsid w:val="000075F1"/>
    <w:rsid w:val="00021F34"/>
    <w:rsid w:val="00023E04"/>
    <w:rsid w:val="00034DEA"/>
    <w:rsid w:val="00045CA0"/>
    <w:rsid w:val="00065A13"/>
    <w:rsid w:val="0007159A"/>
    <w:rsid w:val="000727A6"/>
    <w:rsid w:val="00074013"/>
    <w:rsid w:val="00074D88"/>
    <w:rsid w:val="000912AB"/>
    <w:rsid w:val="00094A7A"/>
    <w:rsid w:val="000A23B0"/>
    <w:rsid w:val="000A7A0C"/>
    <w:rsid w:val="000C7997"/>
    <w:rsid w:val="000D3E9D"/>
    <w:rsid w:val="000D3FC7"/>
    <w:rsid w:val="00110250"/>
    <w:rsid w:val="00121ECF"/>
    <w:rsid w:val="0014161B"/>
    <w:rsid w:val="0015284E"/>
    <w:rsid w:val="00171118"/>
    <w:rsid w:val="001819C3"/>
    <w:rsid w:val="001823B8"/>
    <w:rsid w:val="001C1A96"/>
    <w:rsid w:val="001C6E3B"/>
    <w:rsid w:val="00221BE4"/>
    <w:rsid w:val="00230865"/>
    <w:rsid w:val="00253BED"/>
    <w:rsid w:val="0028484C"/>
    <w:rsid w:val="002B72C1"/>
    <w:rsid w:val="00300DA3"/>
    <w:rsid w:val="00301E1B"/>
    <w:rsid w:val="00320254"/>
    <w:rsid w:val="00326735"/>
    <w:rsid w:val="00333340"/>
    <w:rsid w:val="00386979"/>
    <w:rsid w:val="00387332"/>
    <w:rsid w:val="003976B1"/>
    <w:rsid w:val="003B2A8B"/>
    <w:rsid w:val="003F31F1"/>
    <w:rsid w:val="003F7113"/>
    <w:rsid w:val="0041435D"/>
    <w:rsid w:val="00442909"/>
    <w:rsid w:val="00467DBC"/>
    <w:rsid w:val="00474BF7"/>
    <w:rsid w:val="00487773"/>
    <w:rsid w:val="00494C37"/>
    <w:rsid w:val="004A7482"/>
    <w:rsid w:val="004F3D59"/>
    <w:rsid w:val="00507311"/>
    <w:rsid w:val="005244FE"/>
    <w:rsid w:val="00530F4E"/>
    <w:rsid w:val="005616B0"/>
    <w:rsid w:val="00573655"/>
    <w:rsid w:val="005B489B"/>
    <w:rsid w:val="005B5007"/>
    <w:rsid w:val="005F4686"/>
    <w:rsid w:val="00607031"/>
    <w:rsid w:val="006104BB"/>
    <w:rsid w:val="00611920"/>
    <w:rsid w:val="00611AAB"/>
    <w:rsid w:val="00645FB7"/>
    <w:rsid w:val="00652E88"/>
    <w:rsid w:val="006603B0"/>
    <w:rsid w:val="0067305C"/>
    <w:rsid w:val="0068692D"/>
    <w:rsid w:val="006A0F53"/>
    <w:rsid w:val="006E563A"/>
    <w:rsid w:val="007103B6"/>
    <w:rsid w:val="00730791"/>
    <w:rsid w:val="007337EC"/>
    <w:rsid w:val="0074089B"/>
    <w:rsid w:val="00742188"/>
    <w:rsid w:val="00761128"/>
    <w:rsid w:val="00764A3A"/>
    <w:rsid w:val="00764C73"/>
    <w:rsid w:val="007861A7"/>
    <w:rsid w:val="007D57FC"/>
    <w:rsid w:val="008016E7"/>
    <w:rsid w:val="0081680B"/>
    <w:rsid w:val="0082268D"/>
    <w:rsid w:val="00830618"/>
    <w:rsid w:val="00871A5D"/>
    <w:rsid w:val="00872A6D"/>
    <w:rsid w:val="008801B4"/>
    <w:rsid w:val="00891F9D"/>
    <w:rsid w:val="008A05A4"/>
    <w:rsid w:val="008A50A9"/>
    <w:rsid w:val="008B6BE2"/>
    <w:rsid w:val="008D546D"/>
    <w:rsid w:val="008E325E"/>
    <w:rsid w:val="008E3E49"/>
    <w:rsid w:val="008F094A"/>
    <w:rsid w:val="008F512E"/>
    <w:rsid w:val="008F78E5"/>
    <w:rsid w:val="00920D9D"/>
    <w:rsid w:val="00932E88"/>
    <w:rsid w:val="0095404D"/>
    <w:rsid w:val="00961DDE"/>
    <w:rsid w:val="00991ABB"/>
    <w:rsid w:val="00997A08"/>
    <w:rsid w:val="009A4744"/>
    <w:rsid w:val="009A6A41"/>
    <w:rsid w:val="009C1329"/>
    <w:rsid w:val="009C5B52"/>
    <w:rsid w:val="009D02CF"/>
    <w:rsid w:val="009D4896"/>
    <w:rsid w:val="009E10AC"/>
    <w:rsid w:val="009E5407"/>
    <w:rsid w:val="00A119B7"/>
    <w:rsid w:val="00A212FC"/>
    <w:rsid w:val="00A40393"/>
    <w:rsid w:val="00A429B5"/>
    <w:rsid w:val="00A44A5D"/>
    <w:rsid w:val="00A50138"/>
    <w:rsid w:val="00A535F0"/>
    <w:rsid w:val="00A629CB"/>
    <w:rsid w:val="00A72C9C"/>
    <w:rsid w:val="00A818B2"/>
    <w:rsid w:val="00A84348"/>
    <w:rsid w:val="00AB2066"/>
    <w:rsid w:val="00AB2DEB"/>
    <w:rsid w:val="00AD6EC8"/>
    <w:rsid w:val="00AF7A54"/>
    <w:rsid w:val="00B06520"/>
    <w:rsid w:val="00B34F22"/>
    <w:rsid w:val="00B842F3"/>
    <w:rsid w:val="00B97B99"/>
    <w:rsid w:val="00BA3C68"/>
    <w:rsid w:val="00BB18CC"/>
    <w:rsid w:val="00BB654F"/>
    <w:rsid w:val="00BB7FB2"/>
    <w:rsid w:val="00BD1E2F"/>
    <w:rsid w:val="00BF1B56"/>
    <w:rsid w:val="00BF549E"/>
    <w:rsid w:val="00C00843"/>
    <w:rsid w:val="00C01112"/>
    <w:rsid w:val="00C05C48"/>
    <w:rsid w:val="00C110FE"/>
    <w:rsid w:val="00C20878"/>
    <w:rsid w:val="00C7150D"/>
    <w:rsid w:val="00C80D07"/>
    <w:rsid w:val="00C91835"/>
    <w:rsid w:val="00CA7179"/>
    <w:rsid w:val="00CC0D7C"/>
    <w:rsid w:val="00CD4C72"/>
    <w:rsid w:val="00CE2B15"/>
    <w:rsid w:val="00D022D3"/>
    <w:rsid w:val="00D624CA"/>
    <w:rsid w:val="00D65D01"/>
    <w:rsid w:val="00D73490"/>
    <w:rsid w:val="00D75E5C"/>
    <w:rsid w:val="00D75F77"/>
    <w:rsid w:val="00D85877"/>
    <w:rsid w:val="00DB2600"/>
    <w:rsid w:val="00DC2D4F"/>
    <w:rsid w:val="00DD1180"/>
    <w:rsid w:val="00DD7DFE"/>
    <w:rsid w:val="00E0297E"/>
    <w:rsid w:val="00E47968"/>
    <w:rsid w:val="00E67ED0"/>
    <w:rsid w:val="00E916A4"/>
    <w:rsid w:val="00EB0027"/>
    <w:rsid w:val="00ED1670"/>
    <w:rsid w:val="00ED58F7"/>
    <w:rsid w:val="00EE24F6"/>
    <w:rsid w:val="00EF3149"/>
    <w:rsid w:val="00F069CD"/>
    <w:rsid w:val="00F12D90"/>
    <w:rsid w:val="00F407F2"/>
    <w:rsid w:val="00F42DA1"/>
    <w:rsid w:val="00F6029F"/>
    <w:rsid w:val="00F622C1"/>
    <w:rsid w:val="00FA15C7"/>
    <w:rsid w:val="00FA1866"/>
    <w:rsid w:val="00FA5A65"/>
    <w:rsid w:val="00FA6355"/>
    <w:rsid w:val="00FA6DB0"/>
    <w:rsid w:val="00FD7627"/>
    <w:rsid w:val="00FE0C57"/>
    <w:rsid w:val="00FE3A8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35750-7B55-4113-95DE-E0973439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E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C110FE"/>
    <w:pPr>
      <w:suppressAutoHyphens/>
      <w:autoSpaceDN w:val="0"/>
      <w:spacing w:after="12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2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744"/>
  </w:style>
  <w:style w:type="paragraph" w:styleId="a8">
    <w:name w:val="footer"/>
    <w:basedOn w:val="a"/>
    <w:link w:val="a9"/>
    <w:uiPriority w:val="99"/>
    <w:unhideWhenUsed/>
    <w:rsid w:val="009A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Темп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роста госдолга Томской области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7645562686119704E-2"/>
          <c:y val="9.732049663146064E-2"/>
          <c:w val="0.90097353676485348"/>
          <c:h val="0.8300304164350936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9339904131438213E-3"/>
                  <c:y val="0.1001137252403614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446846576174477E-3"/>
                  <c:y val="9.26987000284664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1019677584199375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446634710479469E-3"/>
                  <c:y val="9.13735542051906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9.37567689561270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893693152350159E-3"/>
                  <c:y val="0.1032928371745770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'Темп роста'!$F$2:$K$2</c:f>
              <c:strCache>
                <c:ptCount val="6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</c:strCache>
            </c:strRef>
          </c:cat>
          <c:val>
            <c:numRef>
              <c:f>'Темп роста'!$F$3:$K$3</c:f>
              <c:numCache>
                <c:formatCode>General</c:formatCode>
                <c:ptCount val="6"/>
                <c:pt idx="0">
                  <c:v>23.2</c:v>
                </c:pt>
                <c:pt idx="1">
                  <c:v>25.7</c:v>
                </c:pt>
                <c:pt idx="2">
                  <c:v>28.4</c:v>
                </c:pt>
                <c:pt idx="3" formatCode="0.0">
                  <c:v>28.994</c:v>
                </c:pt>
                <c:pt idx="4" formatCode="0.0">
                  <c:v>32.2792089</c:v>
                </c:pt>
                <c:pt idx="5">
                  <c:v>42.2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2"/>
        <c:overlap val="-27"/>
        <c:axId val="284973336"/>
        <c:axId val="284971376"/>
      </c:barChart>
      <c:catAx>
        <c:axId val="28497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4971376"/>
        <c:crosses val="autoZero"/>
        <c:auto val="1"/>
        <c:lblAlgn val="ctr"/>
        <c:lblOffset val="100"/>
        <c:noMultiLvlLbl val="0"/>
      </c:catAx>
      <c:valAx>
        <c:axId val="28497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млрд.руб.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497333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0.16805</cdr:x>
      <cdr:y>0.33515</cdr:y>
    </cdr:from>
    <cdr:to>
      <cdr:x>0.28124</cdr:x>
      <cdr:y>0.45114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998288" y="1236269"/>
          <a:ext cx="672397" cy="4278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b="1"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11%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0.30988</cdr:x>
      <cdr:y>0.27566</cdr:y>
    </cdr:from>
    <cdr:to>
      <cdr:x>0.42661</cdr:x>
      <cdr:y>0.3844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1840819" y="1016814"/>
          <a:ext cx="693426" cy="4011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b="1"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11%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0.47221</cdr:x>
      <cdr:y>0.24591</cdr:y>
    </cdr:from>
    <cdr:to>
      <cdr:x>0.57244</cdr:x>
      <cdr:y>0.34742</cdr:y>
    </cdr:to>
    <cdr:sp macro="" textlink="">
      <cdr:nvSpPr>
        <cdr:cNvPr id="18" name="TextBox 17"/>
        <cdr:cNvSpPr txBox="1"/>
      </cdr:nvSpPr>
      <cdr:spPr>
        <a:xfrm xmlns:a="http://schemas.openxmlformats.org/drawingml/2006/main">
          <a:off x="2805128" y="907084"/>
          <a:ext cx="595409" cy="3744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b="1"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2%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0.59417</cdr:x>
      <cdr:y>0.28292</cdr:y>
    </cdr:from>
    <cdr:to>
      <cdr:x>0.71876</cdr:x>
      <cdr:y>0.37827</cdr:y>
    </cdr:to>
    <cdr:sp macro="" textlink="">
      <cdr:nvSpPr>
        <cdr:cNvPr id="8" name="Стрелка углом 7"/>
        <cdr:cNvSpPr/>
      </cdr:nvSpPr>
      <cdr:spPr>
        <a:xfrm xmlns:a="http://schemas.openxmlformats.org/drawingml/2006/main">
          <a:off x="3529622" y="1043613"/>
          <a:ext cx="740118" cy="351719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0.61516</cdr:x>
      <cdr:y>0.21616</cdr:y>
    </cdr:from>
    <cdr:to>
      <cdr:x>0.71792</cdr:x>
      <cdr:y>0.3524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654329" y="797358"/>
          <a:ext cx="610432" cy="5025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b="1"/>
            <a:t>+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11</a:t>
          </a:r>
          <a:r>
            <a:rPr lang="en-US" sz="1100" b="1"/>
            <a:t>%</a:t>
          </a:r>
        </a:p>
      </cdr:txBody>
    </cdr:sp>
  </cdr:relSizeAnchor>
  <cdr:relSizeAnchor xmlns:cdr="http://schemas.openxmlformats.org/drawingml/2006/chartDrawing">
    <cdr:from>
      <cdr:x>0.14474</cdr:x>
      <cdr:y>0.39596</cdr:y>
    </cdr:from>
    <cdr:to>
      <cdr:x>0.2562</cdr:x>
      <cdr:y>0.49148</cdr:y>
    </cdr:to>
    <cdr:sp macro="" textlink="">
      <cdr:nvSpPr>
        <cdr:cNvPr id="25" name="Стрелка углом 24"/>
        <cdr:cNvSpPr/>
      </cdr:nvSpPr>
      <cdr:spPr>
        <a:xfrm xmlns:a="http://schemas.openxmlformats.org/drawingml/2006/main">
          <a:off x="859791" y="1460597"/>
          <a:ext cx="662120" cy="352346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0.29152</cdr:x>
      <cdr:y>0.34847</cdr:y>
    </cdr:from>
    <cdr:to>
      <cdr:x>0.40175</cdr:x>
      <cdr:y>0.44183</cdr:y>
    </cdr:to>
    <cdr:sp macro="" textlink="">
      <cdr:nvSpPr>
        <cdr:cNvPr id="27" name="Стрелка углом 26"/>
        <cdr:cNvSpPr/>
      </cdr:nvSpPr>
      <cdr:spPr>
        <a:xfrm xmlns:a="http://schemas.openxmlformats.org/drawingml/2006/main">
          <a:off x="1731779" y="1285408"/>
          <a:ext cx="654813" cy="344379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0.44695</cdr:x>
      <cdr:y>0.32248</cdr:y>
    </cdr:from>
    <cdr:to>
      <cdr:x>0.55841</cdr:x>
      <cdr:y>0.39019</cdr:y>
    </cdr:to>
    <cdr:sp macro="" textlink="">
      <cdr:nvSpPr>
        <cdr:cNvPr id="30" name="Стрелка углом 29"/>
        <cdr:cNvSpPr/>
      </cdr:nvSpPr>
      <cdr:spPr>
        <a:xfrm xmlns:a="http://schemas.openxmlformats.org/drawingml/2006/main">
          <a:off x="2655064" y="1189527"/>
          <a:ext cx="662119" cy="249763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  <a:ln xmlns:a="http://schemas.openxmlformats.org/drawingml/2006/main" w="25400">
          <a:solidFill>
            <a:srgbClr val="00B050"/>
          </a:solidFill>
        </a:ln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0.77999</cdr:x>
      <cdr:y>0.11984</cdr:y>
    </cdr:from>
    <cdr:to>
      <cdr:x>0.84951</cdr:x>
      <cdr:y>0.32462</cdr:y>
    </cdr:to>
    <cdr:sp macro="" textlink="">
      <cdr:nvSpPr>
        <cdr:cNvPr id="19" name="Стрелка углом 18"/>
        <cdr:cNvSpPr/>
      </cdr:nvSpPr>
      <cdr:spPr>
        <a:xfrm xmlns:a="http://schemas.openxmlformats.org/drawingml/2006/main">
          <a:off x="6022997" y="574657"/>
          <a:ext cx="536799" cy="981949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0.81861</cdr:x>
      <cdr:y>0.06042</cdr:y>
    </cdr:from>
    <cdr:to>
      <cdr:x>0.94943</cdr:x>
      <cdr:y>0.14385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862865" y="222884"/>
          <a:ext cx="777153" cy="3077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31%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4A26-4FEB-416A-B89D-6F0732F6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Вторушин Геннадий Алексеевич</cp:lastModifiedBy>
  <cp:revision>50</cp:revision>
  <cp:lastPrinted>2021-05-27T09:04:00Z</cp:lastPrinted>
  <dcterms:created xsi:type="dcterms:W3CDTF">2020-04-27T04:10:00Z</dcterms:created>
  <dcterms:modified xsi:type="dcterms:W3CDTF">2021-05-31T08:12:00Z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