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8" w:rsidRDefault="008214E8" w:rsidP="008214E8">
      <w:pPr>
        <w:spacing w:after="0"/>
        <w:ind w:firstLine="68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7240EB">
        <w:rPr>
          <w:rFonts w:ascii="Times New Roman" w:hAnsi="Times New Roman" w:cs="Times New Roman"/>
          <w:b/>
          <w:sz w:val="24"/>
          <w:szCs w:val="24"/>
        </w:rPr>
        <w:t xml:space="preserve">  8</w:t>
      </w:r>
    </w:p>
    <w:p w:rsidR="008214E8" w:rsidRDefault="008214E8" w:rsidP="00B97B99">
      <w:pPr>
        <w:spacing w:after="0"/>
        <w:ind w:firstLine="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B99" w:rsidRPr="008214E8" w:rsidRDefault="00B97B99" w:rsidP="00B97B99">
      <w:pPr>
        <w:spacing w:after="0"/>
        <w:ind w:firstLine="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4E8">
        <w:rPr>
          <w:rFonts w:ascii="Times New Roman" w:hAnsi="Times New Roman" w:cs="Times New Roman"/>
          <w:b/>
          <w:sz w:val="24"/>
          <w:szCs w:val="24"/>
        </w:rPr>
        <w:t>Дефицит областного бюджета и источники его финансирования</w:t>
      </w:r>
    </w:p>
    <w:p w:rsidR="008214E8" w:rsidRDefault="008214E8" w:rsidP="00770601">
      <w:pPr>
        <w:spacing w:after="0"/>
        <w:ind w:firstLine="686"/>
        <w:rPr>
          <w:rFonts w:ascii="Times New Roman" w:hAnsi="Times New Roman" w:cs="Times New Roman"/>
          <w:sz w:val="24"/>
          <w:szCs w:val="24"/>
        </w:rPr>
      </w:pPr>
    </w:p>
    <w:p w:rsidR="00770601" w:rsidRDefault="00B97B99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B97B99">
        <w:rPr>
          <w:rFonts w:ascii="Times New Roman" w:hAnsi="Times New Roman" w:cs="Times New Roman"/>
          <w:sz w:val="24"/>
          <w:szCs w:val="24"/>
        </w:rPr>
        <w:t>Согласно данным бухгалтерской отчетности и проект</w:t>
      </w:r>
      <w:r w:rsidR="00357B0E">
        <w:rPr>
          <w:rFonts w:ascii="Times New Roman" w:hAnsi="Times New Roman" w:cs="Times New Roman"/>
          <w:sz w:val="24"/>
          <w:szCs w:val="24"/>
        </w:rPr>
        <w:t>у</w:t>
      </w:r>
      <w:r w:rsidRPr="00B97B9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A212FC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Pr="00B97B99">
        <w:rPr>
          <w:rFonts w:ascii="Times New Roman" w:hAnsi="Times New Roman" w:cs="Times New Roman"/>
          <w:sz w:val="24"/>
          <w:szCs w:val="24"/>
        </w:rPr>
        <w:t>областно</w:t>
      </w:r>
      <w:r w:rsidR="00A212FC">
        <w:rPr>
          <w:rFonts w:ascii="Times New Roman" w:hAnsi="Times New Roman" w:cs="Times New Roman"/>
          <w:sz w:val="24"/>
          <w:szCs w:val="24"/>
        </w:rPr>
        <w:t xml:space="preserve">го </w:t>
      </w:r>
      <w:r w:rsidRPr="00B97B99">
        <w:rPr>
          <w:rFonts w:ascii="Times New Roman" w:hAnsi="Times New Roman" w:cs="Times New Roman"/>
          <w:sz w:val="24"/>
          <w:szCs w:val="24"/>
        </w:rPr>
        <w:t>бюджет</w:t>
      </w:r>
      <w:r w:rsidR="00A212FC">
        <w:rPr>
          <w:rFonts w:ascii="Times New Roman" w:hAnsi="Times New Roman" w:cs="Times New Roman"/>
          <w:sz w:val="24"/>
          <w:szCs w:val="24"/>
        </w:rPr>
        <w:t>а</w:t>
      </w:r>
      <w:r w:rsidRPr="00B97B99">
        <w:rPr>
          <w:rFonts w:ascii="Times New Roman" w:hAnsi="Times New Roman" w:cs="Times New Roman"/>
          <w:sz w:val="24"/>
          <w:szCs w:val="24"/>
        </w:rPr>
        <w:t xml:space="preserve"> за 20</w:t>
      </w:r>
      <w:r w:rsidR="00295EF3">
        <w:rPr>
          <w:rFonts w:ascii="Times New Roman" w:hAnsi="Times New Roman" w:cs="Times New Roman"/>
          <w:sz w:val="24"/>
          <w:szCs w:val="24"/>
        </w:rPr>
        <w:t>20</w:t>
      </w:r>
      <w:r w:rsidRPr="00B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составил </w:t>
      </w:r>
      <w:r w:rsidR="00295EF3">
        <w:rPr>
          <w:rFonts w:ascii="Times New Roman" w:hAnsi="Times New Roman" w:cs="Times New Roman"/>
          <w:sz w:val="24"/>
          <w:szCs w:val="24"/>
        </w:rPr>
        <w:t>10 019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5EF3">
        <w:rPr>
          <w:rFonts w:ascii="Times New Roman" w:hAnsi="Times New Roman" w:cs="Times New Roman"/>
          <w:sz w:val="24"/>
          <w:szCs w:val="24"/>
        </w:rPr>
        <w:t>341,5</w:t>
      </w:r>
      <w:r w:rsidR="00B77909">
        <w:rPr>
          <w:rFonts w:ascii="Times New Roman" w:hAnsi="Times New Roman" w:cs="Times New Roman"/>
          <w:sz w:val="24"/>
          <w:szCs w:val="24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утвержденном </w:t>
      </w:r>
      <w:r w:rsidR="00295EF3">
        <w:rPr>
          <w:rFonts w:ascii="Times New Roman" w:hAnsi="Times New Roman" w:cs="Times New Roman"/>
          <w:sz w:val="24"/>
          <w:szCs w:val="24"/>
        </w:rPr>
        <w:t>3 325 520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B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</w:t>
      </w:r>
      <w:r w:rsidR="00770601" w:rsidRPr="00770601">
        <w:rPr>
          <w:rFonts w:ascii="Times New Roman" w:hAnsi="Times New Roman" w:cs="Times New Roman"/>
          <w:sz w:val="24"/>
          <w:szCs w:val="24"/>
        </w:rPr>
        <w:t xml:space="preserve"> </w:t>
      </w:r>
      <w:r w:rsidR="00A212FC" w:rsidRPr="00077450">
        <w:rPr>
          <w:rFonts w:ascii="Times New Roman" w:hAnsi="Times New Roman" w:cs="Times New Roman"/>
          <w:sz w:val="24"/>
          <w:szCs w:val="24"/>
        </w:rPr>
        <w:t xml:space="preserve">Отношение дефицита бюджета к объему доходов без учета безвозмездных поступлений составило </w:t>
      </w:r>
      <w:r w:rsidR="00295EF3" w:rsidRPr="00077450">
        <w:rPr>
          <w:rFonts w:ascii="Times New Roman" w:hAnsi="Times New Roman" w:cs="Times New Roman"/>
          <w:sz w:val="24"/>
          <w:szCs w:val="24"/>
        </w:rPr>
        <w:t>22</w:t>
      </w:r>
      <w:r w:rsidR="00A212FC" w:rsidRPr="00077450">
        <w:rPr>
          <w:rFonts w:ascii="Times New Roman" w:hAnsi="Times New Roman" w:cs="Times New Roman"/>
          <w:sz w:val="24"/>
          <w:szCs w:val="24"/>
        </w:rPr>
        <w:t>%</w:t>
      </w:r>
      <w:r w:rsidR="00770601" w:rsidRPr="00077450">
        <w:rPr>
          <w:rFonts w:ascii="Times New Roman" w:hAnsi="Times New Roman" w:cs="Times New Roman"/>
          <w:sz w:val="24"/>
          <w:szCs w:val="24"/>
        </w:rPr>
        <w:t>.</w:t>
      </w:r>
    </w:p>
    <w:p w:rsidR="00287426" w:rsidRDefault="00287426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0601">
        <w:rPr>
          <w:rFonts w:ascii="Times New Roman" w:hAnsi="Times New Roman" w:cs="Times New Roman"/>
          <w:color w:val="000000" w:themeColor="text1"/>
          <w:sz w:val="24"/>
          <w:szCs w:val="24"/>
        </w:rPr>
        <w:t>В пояснительной записке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DD76F9">
        <w:rPr>
          <w:rFonts w:ascii="Times New Roman" w:hAnsi="Times New Roman" w:cs="Times New Roman"/>
          <w:sz w:val="24"/>
          <w:szCs w:val="24"/>
        </w:rPr>
        <w:t xml:space="preserve"> </w:t>
      </w:r>
      <w:r w:rsidRPr="00B97B9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7B99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770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 информация о соблюдении Томской областью ограничений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0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Бюджетным кодексом РФ относительно дефицита бюджета (15%), а также </w:t>
      </w:r>
      <w:r w:rsidRPr="00770601">
        <w:rPr>
          <w:rFonts w:ascii="Times New Roman" w:hAnsi="Times New Roman" w:cs="Times New Roman"/>
          <w:sz w:val="24"/>
          <w:szCs w:val="24"/>
        </w:rPr>
        <w:t>ограничени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0601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770601">
        <w:rPr>
          <w:rFonts w:ascii="Times New Roman" w:hAnsi="Times New Roman" w:cs="Times New Roman"/>
          <w:sz w:val="24"/>
          <w:szCs w:val="24"/>
        </w:rPr>
        <w:t>соглашениями о предоставлении бюджету Томской области из федерального бюджета бюджетных кредитов (10%).</w:t>
      </w:r>
    </w:p>
    <w:p w:rsidR="00DD76F9" w:rsidRDefault="00592B83" w:rsidP="003E18F2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РФ от 12.11.2019 № 367-ФЗ</w:t>
      </w:r>
      <w:r w:rsidRPr="0059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приостановлении отдельных положений Бюджетного кодекса РФ и установлении особенностей исполнения бюджетов бюджетной системы в 2020 году» </w:t>
      </w:r>
      <w:r w:rsidR="00837DE0">
        <w:rPr>
          <w:rFonts w:ascii="Times New Roman" w:hAnsi="Times New Roman" w:cs="Times New Roman"/>
          <w:sz w:val="24"/>
          <w:szCs w:val="24"/>
        </w:rPr>
        <w:t>предусмотрена возможность превышать ограничени</w:t>
      </w:r>
      <w:r w:rsidR="004A4F6C">
        <w:rPr>
          <w:rFonts w:ascii="Times New Roman" w:hAnsi="Times New Roman" w:cs="Times New Roman"/>
          <w:sz w:val="24"/>
          <w:szCs w:val="24"/>
        </w:rPr>
        <w:t>е</w:t>
      </w:r>
      <w:r w:rsidR="00837DE0">
        <w:rPr>
          <w:rFonts w:ascii="Times New Roman" w:hAnsi="Times New Roman" w:cs="Times New Roman"/>
          <w:sz w:val="24"/>
          <w:szCs w:val="24"/>
        </w:rPr>
        <w:t xml:space="preserve"> по дефициту</w:t>
      </w:r>
      <w:r w:rsidR="00DD76F9">
        <w:rPr>
          <w:rFonts w:ascii="Times New Roman" w:hAnsi="Times New Roman" w:cs="Times New Roman"/>
          <w:sz w:val="24"/>
          <w:szCs w:val="24"/>
        </w:rPr>
        <w:t>:</w:t>
      </w:r>
    </w:p>
    <w:p w:rsidR="00DD76F9" w:rsidRDefault="00DD76F9" w:rsidP="003E18F2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7426">
        <w:rPr>
          <w:rFonts w:ascii="Times New Roman" w:hAnsi="Times New Roman" w:cs="Times New Roman"/>
          <w:sz w:val="24"/>
          <w:szCs w:val="24"/>
          <w:u w:val="single"/>
        </w:rPr>
        <w:t>установленное законом субъекта РФ</w:t>
      </w:r>
      <w:r>
        <w:rPr>
          <w:rFonts w:ascii="Times New Roman" w:hAnsi="Times New Roman" w:cs="Times New Roman"/>
          <w:sz w:val="24"/>
          <w:szCs w:val="24"/>
        </w:rPr>
        <w:t xml:space="preserve">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субъекта РФ, с профилактикой и устранением последствий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снижения налоговых и неналоговых доходов бюджета субъекта по сравнению с 2019 годо</w:t>
      </w:r>
      <w:r w:rsidR="003954F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а также в связи с изменениями условий реструктуризации бюджетных кредитов (ст.6 указанного закона);</w:t>
      </w:r>
    </w:p>
    <w:p w:rsidR="00837DE0" w:rsidRDefault="00DD76F9" w:rsidP="003E18F2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7DE0">
        <w:rPr>
          <w:rFonts w:ascii="Times New Roman" w:hAnsi="Times New Roman" w:cs="Times New Roman"/>
          <w:sz w:val="24"/>
          <w:szCs w:val="24"/>
        </w:rPr>
        <w:t xml:space="preserve"> </w:t>
      </w:r>
      <w:r w:rsidR="00837DE0" w:rsidRPr="00287426">
        <w:rPr>
          <w:rFonts w:ascii="Times New Roman" w:hAnsi="Times New Roman" w:cs="Times New Roman"/>
          <w:sz w:val="24"/>
          <w:szCs w:val="24"/>
          <w:u w:val="single"/>
        </w:rPr>
        <w:t>установленное Бюджетным кодексом РФ</w:t>
      </w:r>
      <w:r w:rsidR="00837DE0">
        <w:rPr>
          <w:rFonts w:ascii="Times New Roman" w:hAnsi="Times New Roman" w:cs="Times New Roman"/>
          <w:sz w:val="24"/>
          <w:szCs w:val="24"/>
        </w:rPr>
        <w:t xml:space="preserve">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субъекта РФ, с профилактикой и устранением последствий распространения </w:t>
      </w:r>
      <w:proofErr w:type="spellStart"/>
      <w:r w:rsidR="00837DE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37DE0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 (ст.7 указанного закона)</w:t>
      </w:r>
      <w:r w:rsidR="00837DE0">
        <w:rPr>
          <w:rFonts w:ascii="Times New Roman" w:hAnsi="Times New Roman" w:cs="Times New Roman"/>
          <w:sz w:val="24"/>
          <w:szCs w:val="24"/>
        </w:rPr>
        <w:t>.</w:t>
      </w:r>
    </w:p>
    <w:p w:rsidR="0053036F" w:rsidRDefault="00AF55BA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Департаментом финансов</w:t>
      </w:r>
      <w:r w:rsidR="001A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 представлен (письмо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21.05.2021 № 50-13/21-293) расчет допустимого превышения показателей дефицита за 2020 год без учета средств федерального бюджета</w:t>
      </w:r>
      <w:r w:rsidR="005303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4E4F" w:rsidRDefault="0053036F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7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итогу 2020 года </w:t>
      </w:r>
      <w:r w:rsidRPr="001A3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дефицит областного бюджета превысил ограничения,</w:t>
      </w:r>
      <w:r w:rsidRPr="00077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4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установленные</w:t>
      </w:r>
      <w:r w:rsidR="00F8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84E4F" w:rsidRDefault="00F84E4F" w:rsidP="003E18F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C84915" w:rsidRPr="00F8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аконом об областном бюджете на 145 223,1 тыс.руб.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C84915" w:rsidRPr="00F84E4F" w:rsidRDefault="00C84915" w:rsidP="003E18F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4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Бюджетным кодексом РФ на 1 256 093,8 тыс.руб. </w:t>
      </w:r>
    </w:p>
    <w:p w:rsidR="00F84E4F" w:rsidRPr="008378B6" w:rsidRDefault="008378B6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п.10 Правил 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реструктуризации обязательств (задолженности) субъектов Российской Федерации перед Российской Федерацией по бюджетным кредитам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п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оценке исполнения должником обязательств по итогам 2020 года, разм</w:t>
      </w:r>
      <w:r w:rsidR="001A320E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дефицита бюджета субъекта РФ</w:t>
      </w:r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превысить установленны</w:t>
      </w:r>
      <w:r w:rsid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соглашением показател</w:t>
      </w:r>
      <w:r w:rsid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84E4F" w:rsidRPr="0073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на сумму снижения налоговых и неналоговых доходов бюджета субъекта Российской Федерации по сравнению с 2019 годом.</w:t>
      </w:r>
    </w:p>
    <w:p w:rsidR="0053036F" w:rsidRDefault="00077450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26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Ограничение, установленное соглашениями о предоставлении бюджету Томской области из федерального бюджета бюджетных кредитов</w:t>
      </w:r>
      <w:r w:rsidR="0053036F" w:rsidRPr="0028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7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отношению дефицита </w:t>
      </w:r>
      <w:r w:rsidRPr="0028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объему доходов областного бюджета без учета безвозмездных поступлений за 2020 год, не превышено.</w:t>
      </w:r>
    </w:p>
    <w:p w:rsidR="00F84E4F" w:rsidRDefault="00483A36" w:rsidP="003E18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исполнении областных бюджетов всех субъектов РФ за 2020 год выглядела следующим образом.</w:t>
      </w:r>
    </w:p>
    <w:p w:rsidR="00483A36" w:rsidRPr="00287426" w:rsidRDefault="00483A36" w:rsidP="007E78D7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6202"/>
      </w:tblGrid>
      <w:tr w:rsidR="00CA2431" w:rsidTr="001C7FBC">
        <w:trPr>
          <w:trHeight w:val="3015"/>
        </w:trPr>
        <w:tc>
          <w:tcPr>
            <w:tcW w:w="3346" w:type="dxa"/>
          </w:tcPr>
          <w:p w:rsidR="00F90162" w:rsidRDefault="00F90162" w:rsidP="00F90162">
            <w:pPr>
              <w:spacing w:after="0"/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из 85 субъектов РФ:</w:t>
            </w:r>
          </w:p>
          <w:p w:rsidR="00F90162" w:rsidRDefault="00F90162" w:rsidP="00F90162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62">
              <w:rPr>
                <w:rFonts w:ascii="Times New Roman" w:hAnsi="Times New Roman" w:cs="Times New Roman"/>
                <w:sz w:val="24"/>
                <w:szCs w:val="24"/>
              </w:rPr>
              <w:t>60 субъект</w:t>
            </w:r>
            <w:r w:rsidR="00C546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0162">
              <w:rPr>
                <w:rFonts w:ascii="Times New Roman" w:hAnsi="Times New Roman" w:cs="Times New Roman"/>
                <w:sz w:val="24"/>
                <w:szCs w:val="24"/>
              </w:rPr>
              <w:t xml:space="preserve"> РФ исполнили бюджет с дефицитом;</w:t>
            </w:r>
          </w:p>
          <w:p w:rsidR="00F90162" w:rsidRPr="00F90162" w:rsidRDefault="00F90162" w:rsidP="00F90162">
            <w:pPr>
              <w:pStyle w:val="a6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62" w:rsidRPr="00F90162" w:rsidRDefault="00F90162" w:rsidP="00C5460D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62">
              <w:rPr>
                <w:rFonts w:ascii="Times New Roman" w:hAnsi="Times New Roman" w:cs="Times New Roman"/>
                <w:sz w:val="24"/>
                <w:szCs w:val="24"/>
              </w:rPr>
              <w:t>25 субъект</w:t>
            </w:r>
            <w:r w:rsidR="00C546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0162">
              <w:rPr>
                <w:rFonts w:ascii="Times New Roman" w:hAnsi="Times New Roman" w:cs="Times New Roman"/>
                <w:sz w:val="24"/>
                <w:szCs w:val="24"/>
              </w:rPr>
              <w:t xml:space="preserve"> РФ исполнили бюджет с профицитом.</w:t>
            </w:r>
          </w:p>
        </w:tc>
        <w:tc>
          <w:tcPr>
            <w:tcW w:w="6202" w:type="dxa"/>
          </w:tcPr>
          <w:p w:rsidR="00F90162" w:rsidRDefault="00CA2431" w:rsidP="00CA2431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F8FA4E" wp14:editId="503D13DF">
                  <wp:extent cx="3768090" cy="2295759"/>
                  <wp:effectExtent l="0" t="0" r="381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976B1" w:rsidRPr="001A320E" w:rsidRDefault="008A675B" w:rsidP="003E18F2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320E">
        <w:rPr>
          <w:rFonts w:ascii="Times New Roman" w:hAnsi="Times New Roman" w:cs="Times New Roman"/>
          <w:sz w:val="24"/>
          <w:szCs w:val="24"/>
        </w:rPr>
        <w:t>По итогу 20</w:t>
      </w:r>
      <w:r w:rsidR="00857619" w:rsidRPr="001A320E">
        <w:rPr>
          <w:rFonts w:ascii="Times New Roman" w:hAnsi="Times New Roman" w:cs="Times New Roman"/>
          <w:sz w:val="24"/>
          <w:szCs w:val="24"/>
        </w:rPr>
        <w:t>20</w:t>
      </w:r>
      <w:r w:rsidRPr="001A32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1866" w:rsidRPr="001A320E">
        <w:rPr>
          <w:rFonts w:ascii="Times New Roman" w:hAnsi="Times New Roman" w:cs="Times New Roman"/>
          <w:sz w:val="24"/>
          <w:szCs w:val="24"/>
        </w:rPr>
        <w:t xml:space="preserve">Томская область по </w:t>
      </w:r>
      <w:r w:rsidR="00857619" w:rsidRPr="001A320E">
        <w:rPr>
          <w:rFonts w:ascii="Times New Roman" w:hAnsi="Times New Roman" w:cs="Times New Roman"/>
          <w:sz w:val="24"/>
          <w:szCs w:val="24"/>
        </w:rPr>
        <w:t xml:space="preserve">показателю </w:t>
      </w:r>
      <w:r w:rsidR="00B77909" w:rsidRPr="001A320E">
        <w:rPr>
          <w:rFonts w:ascii="Times New Roman" w:hAnsi="Times New Roman" w:cs="Times New Roman"/>
          <w:sz w:val="24"/>
          <w:szCs w:val="24"/>
        </w:rPr>
        <w:t>«</w:t>
      </w:r>
      <w:r w:rsidR="00FA1866" w:rsidRPr="001A320E">
        <w:rPr>
          <w:rFonts w:ascii="Times New Roman" w:hAnsi="Times New Roman" w:cs="Times New Roman"/>
          <w:sz w:val="24"/>
          <w:szCs w:val="24"/>
        </w:rPr>
        <w:t>отношени</w:t>
      </w:r>
      <w:r w:rsidR="00F90162" w:rsidRPr="001A320E">
        <w:rPr>
          <w:rFonts w:ascii="Times New Roman" w:hAnsi="Times New Roman" w:cs="Times New Roman"/>
          <w:sz w:val="24"/>
          <w:szCs w:val="24"/>
        </w:rPr>
        <w:t>е</w:t>
      </w:r>
      <w:r w:rsidR="00FA1866" w:rsidRPr="001A320E">
        <w:rPr>
          <w:rFonts w:ascii="Times New Roman" w:hAnsi="Times New Roman" w:cs="Times New Roman"/>
          <w:sz w:val="24"/>
          <w:szCs w:val="24"/>
        </w:rPr>
        <w:t xml:space="preserve"> дефицита областного бюджета к объему доходов без учета безвозмездн</w:t>
      </w:r>
      <w:r w:rsidR="00CA7696" w:rsidRPr="001A320E">
        <w:rPr>
          <w:rFonts w:ascii="Times New Roman" w:hAnsi="Times New Roman" w:cs="Times New Roman"/>
          <w:sz w:val="24"/>
          <w:szCs w:val="24"/>
        </w:rPr>
        <w:t>ых поступлений</w:t>
      </w:r>
      <w:r w:rsidR="00B77909" w:rsidRPr="001A320E">
        <w:rPr>
          <w:rFonts w:ascii="Times New Roman" w:hAnsi="Times New Roman" w:cs="Times New Roman"/>
          <w:sz w:val="24"/>
          <w:szCs w:val="24"/>
        </w:rPr>
        <w:t>»</w:t>
      </w:r>
      <w:r w:rsidR="00CA7696" w:rsidRPr="001A320E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="00857619" w:rsidRPr="001A320E">
        <w:rPr>
          <w:rFonts w:ascii="Times New Roman" w:hAnsi="Times New Roman" w:cs="Times New Roman"/>
          <w:sz w:val="24"/>
          <w:szCs w:val="24"/>
        </w:rPr>
        <w:t>10</w:t>
      </w:r>
      <w:r w:rsidR="00CA7696" w:rsidRPr="001A320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FA1866" w:rsidRPr="001A320E">
        <w:rPr>
          <w:rFonts w:ascii="Times New Roman" w:hAnsi="Times New Roman" w:cs="Times New Roman"/>
          <w:sz w:val="24"/>
          <w:szCs w:val="24"/>
        </w:rPr>
        <w:t xml:space="preserve"> среди всех субъектов РФ</w:t>
      </w:r>
      <w:r w:rsidR="001A320E">
        <w:rPr>
          <w:rFonts w:ascii="Times New Roman" w:hAnsi="Times New Roman" w:cs="Times New Roman"/>
          <w:sz w:val="24"/>
          <w:szCs w:val="24"/>
        </w:rPr>
        <w:t xml:space="preserve"> и </w:t>
      </w:r>
      <w:r w:rsidR="000E1785">
        <w:rPr>
          <w:rFonts w:ascii="Times New Roman" w:hAnsi="Times New Roman" w:cs="Times New Roman"/>
          <w:sz w:val="24"/>
          <w:szCs w:val="24"/>
        </w:rPr>
        <w:t xml:space="preserve">3 </w:t>
      </w:r>
      <w:r w:rsidR="001A320E">
        <w:rPr>
          <w:rFonts w:ascii="Times New Roman" w:hAnsi="Times New Roman" w:cs="Times New Roman"/>
          <w:sz w:val="24"/>
          <w:szCs w:val="24"/>
        </w:rPr>
        <w:t xml:space="preserve">место среди субъектов </w:t>
      </w:r>
      <w:r w:rsidR="001A320E" w:rsidRPr="005F6F7A">
        <w:rPr>
          <w:rFonts w:ascii="Times New Roman" w:hAnsi="Times New Roman" w:cs="Times New Roman"/>
          <w:sz w:val="24"/>
          <w:szCs w:val="24"/>
        </w:rPr>
        <w:t>в Сибирском федеральном округе</w:t>
      </w:r>
      <w:r w:rsidR="00FA1866" w:rsidRPr="001A3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583" w:rsidRDefault="009F3583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33"/>
        <w:gridCol w:w="1709"/>
        <w:gridCol w:w="1709"/>
        <w:gridCol w:w="2099"/>
      </w:tblGrid>
      <w:tr w:rsidR="009F3583" w:rsidRPr="005F6F7A" w:rsidTr="000E1785">
        <w:trPr>
          <w:trHeight w:val="90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433" w:type="dxa"/>
            <w:vAlign w:val="center"/>
          </w:tcPr>
          <w:p w:rsidR="009F3583" w:rsidRPr="005F6F7A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F3583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  <w:p w:rsidR="009F3583" w:rsidRPr="005F6F7A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  <w:r w:rsidRPr="00E6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F3583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Дефицит (-), Профицит (+)</w:t>
            </w:r>
          </w:p>
          <w:p w:rsidR="009F3583" w:rsidRPr="00284C00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9F3583" w:rsidRPr="00284C00" w:rsidRDefault="009F3583" w:rsidP="005F6F7A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дефицита к налоговым и неналоговым доходам</w:t>
            </w:r>
            <w:r w:rsidRPr="0028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9F3583" w:rsidRPr="005F6F7A" w:rsidTr="000E1785">
        <w:trPr>
          <w:trHeight w:val="193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Кемеровская область - Кузбасс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102 869 059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41 140 198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B811F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433" w:type="dxa"/>
            <w:vAlign w:val="bottom"/>
          </w:tcPr>
          <w:p w:rsidR="009F3583" w:rsidRPr="00B811F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 Хакасия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17 801 640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5 158 732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C84915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49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3433" w:type="dxa"/>
            <w:vAlign w:val="bottom"/>
          </w:tcPr>
          <w:p w:rsidR="009F3583" w:rsidRPr="00C84915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49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Томская область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C84915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84915">
              <w:rPr>
                <w:rFonts w:ascii="Times New Roman" w:hAnsi="Times New Roman" w:cs="Times New Roman"/>
                <w:b/>
                <w:i/>
                <w:color w:val="000000"/>
              </w:rPr>
              <w:t>45 311 904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C84915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84915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 xml:space="preserve">- </w:t>
            </w:r>
            <w:r w:rsidRPr="00C84915">
              <w:rPr>
                <w:rFonts w:ascii="Times New Roman" w:hAnsi="Times New Roman" w:cs="Times New Roman"/>
                <w:b/>
                <w:i/>
                <w:color w:val="000000"/>
              </w:rPr>
              <w:t>10 019 342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C84915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84915">
              <w:rPr>
                <w:rFonts w:ascii="Times New Roman" w:hAnsi="Times New Roman" w:cs="Times New Roman"/>
                <w:b/>
                <w:i/>
                <w:color w:val="000000"/>
              </w:rPr>
              <w:t>22%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3" w:type="dxa"/>
            <w:vAlign w:val="bottom"/>
          </w:tcPr>
          <w:p w:rsidR="009F3583" w:rsidRPr="004A4F6C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139 59</w:t>
            </w:r>
            <w:r w:rsidR="00F907B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B811FA">
              <w:rPr>
                <w:rFonts w:ascii="Times New Roman" w:hAnsi="Times New Roman" w:cs="Times New Roman"/>
                <w:color w:val="000000"/>
              </w:rPr>
              <w:t> 471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16 087 535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12%</w:t>
            </w:r>
          </w:p>
        </w:tc>
      </w:tr>
      <w:tr w:rsidR="009F3583" w:rsidRPr="005F6F7A" w:rsidTr="000E1785">
        <w:trPr>
          <w:trHeight w:val="239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5 897 197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608 862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126 663 928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4 437 358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4%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Республика Тыва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5 688 075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178 325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Омская область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67 756 924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B811FA">
              <w:rPr>
                <w:rFonts w:ascii="Times New Roman" w:hAnsi="Times New Roman" w:cs="Times New Roman"/>
                <w:color w:val="000000"/>
              </w:rPr>
              <w:t>1 789 804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FF27C3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7C3">
              <w:rPr>
                <w:rFonts w:ascii="Times New Roman" w:hAnsi="Times New Roman" w:cs="Times New Roman"/>
                <w:color w:val="000000"/>
              </w:rPr>
              <w:t>3%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229 740 445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  <w:r w:rsidRPr="00B811FA">
              <w:rPr>
                <w:rFonts w:ascii="Times New Roman" w:hAnsi="Times New Roman" w:cs="Times New Roman"/>
                <w:color w:val="000000"/>
              </w:rPr>
              <w:t>389 108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B811FA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9F3583" w:rsidRPr="005F6F7A" w:rsidTr="000E1785">
        <w:trPr>
          <w:trHeight w:val="300"/>
        </w:trPr>
        <w:tc>
          <w:tcPr>
            <w:tcW w:w="513" w:type="dxa"/>
            <w:shd w:val="clear" w:color="auto" w:fill="auto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3" w:type="dxa"/>
            <w:vAlign w:val="bottom"/>
          </w:tcPr>
          <w:p w:rsidR="009F3583" w:rsidRPr="005F6F7A" w:rsidRDefault="009F3583" w:rsidP="009F358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1FA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firstLine="1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11FA">
              <w:rPr>
                <w:rFonts w:ascii="Times New Roman" w:hAnsi="Times New Roman" w:cs="Times New Roman"/>
                <w:color w:val="000000"/>
              </w:rPr>
              <w:t>60 020 192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3583" w:rsidRPr="00B811FA" w:rsidRDefault="009F3583" w:rsidP="008378B6">
            <w:pPr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  <w:r w:rsidRPr="00B811FA">
              <w:rPr>
                <w:rFonts w:ascii="Times New Roman" w:hAnsi="Times New Roman" w:cs="Times New Roman"/>
                <w:color w:val="000000"/>
              </w:rPr>
              <w:t>5 333 815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F3583" w:rsidRPr="005F6F7A" w:rsidRDefault="009F3583" w:rsidP="009033B6">
            <w:pPr>
              <w:spacing w:after="0" w:line="240" w:lineRule="auto"/>
              <w:ind w:left="34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9751C5" w:rsidRDefault="009751C5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</w:p>
    <w:p w:rsidR="00C91835" w:rsidRDefault="00B97B99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B97B99">
        <w:rPr>
          <w:rFonts w:ascii="Times New Roman" w:hAnsi="Times New Roman" w:cs="Times New Roman"/>
          <w:sz w:val="24"/>
          <w:szCs w:val="24"/>
        </w:rPr>
        <w:t>Данные по источникам финансирования дефицита областного бюджета в 20</w:t>
      </w:r>
      <w:r w:rsidR="00D02F77" w:rsidRPr="00D02F77">
        <w:rPr>
          <w:rFonts w:ascii="Times New Roman" w:hAnsi="Times New Roman" w:cs="Times New Roman"/>
          <w:sz w:val="24"/>
          <w:szCs w:val="24"/>
        </w:rPr>
        <w:t>20</w:t>
      </w:r>
      <w:r w:rsidRPr="00B97B99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отражены в таблице.</w:t>
      </w:r>
    </w:p>
    <w:p w:rsidR="009751C5" w:rsidRPr="009751C5" w:rsidRDefault="009751C5" w:rsidP="009751C5">
      <w:pPr>
        <w:spacing w:after="0"/>
        <w:ind w:firstLine="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тыс.руб.)</w:t>
      </w: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77"/>
        <w:gridCol w:w="3918"/>
        <w:gridCol w:w="1417"/>
        <w:gridCol w:w="1134"/>
        <w:gridCol w:w="1276"/>
        <w:gridCol w:w="1134"/>
      </w:tblGrid>
      <w:tr w:rsidR="00FD7627" w:rsidRPr="005F4686" w:rsidTr="002B1F7A">
        <w:trPr>
          <w:trHeight w:val="39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A674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источника финансирования дефицита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7627" w:rsidRPr="005F4686" w:rsidRDefault="00FD7627" w:rsidP="009751C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Томской области «Об областном бюджете на 20</w:t>
            </w:r>
            <w:r w:rsidR="009751C5" w:rsidRPr="009751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751C5" w:rsidRPr="009751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202</w:t>
            </w:r>
            <w:r w:rsidR="009751C5" w:rsidRPr="009751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данным бухгалтерского учета, отчетности и приложений к проекту Закона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исполне</w:t>
            </w:r>
            <w:r w:rsidR="005F6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от утвержденных показателей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(+,-)</w:t>
            </w:r>
          </w:p>
        </w:tc>
      </w:tr>
      <w:tr w:rsidR="00FD7627" w:rsidRPr="005F4686" w:rsidTr="002B1F7A">
        <w:trPr>
          <w:trHeight w:val="399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7627" w:rsidRPr="009751C5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ред. от 2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  <w:p w:rsidR="00FD7627" w:rsidRPr="005F4686" w:rsidRDefault="00FD7627" w:rsidP="00EE690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</w:t>
            </w:r>
            <w:r w:rsidR="00EE6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-ОЗ</w:t>
            </w:r>
            <w:r w:rsidR="007D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57FC" w:rsidRPr="007D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(первоначальная)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ред. от 2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D7627" w:rsidRPr="005F4686" w:rsidRDefault="00FD7627" w:rsidP="009751C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</w:t>
            </w:r>
            <w:r w:rsidR="009751C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70</w:t>
            </w:r>
            <w:r w:rsidRPr="005F4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-ОЗ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7627" w:rsidRPr="005F4686" w:rsidTr="002B1F7A">
        <w:trPr>
          <w:trHeight w:val="399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7627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FD7627" w:rsidRPr="005F4686" w:rsidRDefault="00FD7627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(гр.4- гр.3)</w:t>
            </w:r>
          </w:p>
        </w:tc>
      </w:tr>
      <w:tr w:rsidR="00A40393" w:rsidRPr="005F4686" w:rsidTr="002B1F7A">
        <w:trPr>
          <w:trHeight w:val="35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средствами, поступившими от размещения государственных ценных бумаг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9751C5" w:rsidRDefault="009751C5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064272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3 881 924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DF0FA7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- 618 076</w:t>
            </w:r>
          </w:p>
        </w:tc>
      </w:tr>
      <w:tr w:rsidR="00A40393" w:rsidRPr="005F4686" w:rsidTr="002B1F7A">
        <w:trPr>
          <w:trHeight w:val="27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полученными и погашенными   кредитами кредитных </w:t>
            </w: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9751C5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3 325 994,5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064272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- 5 544 288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DF0FA7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7 544 288</w:t>
            </w:r>
          </w:p>
        </w:tc>
      </w:tr>
      <w:tr w:rsidR="00A40393" w:rsidRPr="005F4686" w:rsidTr="002B1F7A">
        <w:trPr>
          <w:trHeight w:val="4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полученными и погашенными   бюджетными кредитами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9751C5" w:rsidRDefault="009751C5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-870 282,2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DF0FA7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40393" w:rsidRPr="005F4686" w:rsidTr="002B1F7A">
        <w:trPr>
          <w:trHeight w:val="24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прочих остатков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321 027,8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201 729,5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- 119 298,3</w:t>
            </w:r>
          </w:p>
        </w:tc>
      </w:tr>
      <w:tr w:rsidR="00A40393" w:rsidRPr="005F4686" w:rsidTr="002B1F7A">
        <w:trPr>
          <w:trHeight w:val="27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средствами, полученными от возврата предоставленных из областного бюджета бюджетных кредитов, и суммой предоставленных из областного бюджета бюджетных кредитов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- 67 899,4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- 113 092,4</w:t>
            </w:r>
          </w:p>
        </w:tc>
      </w:tr>
      <w:tr w:rsidR="00A40393" w:rsidRPr="005F4686" w:rsidTr="002B1F7A">
        <w:trPr>
          <w:trHeight w:val="4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5F4686" w:rsidP="005F468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средствами, полученными от возврата предоставленных из областного бюджета юридическим лицам бюджетных кредитов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064272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5F4686" w:rsidRDefault="00064272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4686" w:rsidRPr="00EE513F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40393" w:rsidRPr="005F4686" w:rsidTr="002B1F7A">
        <w:trPr>
          <w:trHeight w:val="5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5F77" w:rsidRPr="005F4686" w:rsidRDefault="00D75F77" w:rsidP="00D75F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5F77" w:rsidRPr="005F4686" w:rsidRDefault="00D75F77" w:rsidP="00D75F7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5F77" w:rsidRPr="005F4686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3 004 492,3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5F77" w:rsidRPr="005F4686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3 325 520,1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5F77" w:rsidRPr="00DF0FA7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10 019 341,5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5F77" w:rsidRPr="00DF0FA7" w:rsidRDefault="00DF0FA7" w:rsidP="00C849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6 693 821,4</w:t>
            </w:r>
          </w:p>
        </w:tc>
      </w:tr>
    </w:tbl>
    <w:p w:rsidR="000131A5" w:rsidRDefault="000131A5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</w:p>
    <w:p w:rsidR="00DD5CCE" w:rsidRDefault="00DD5CCE" w:rsidP="000131A5">
      <w:pPr>
        <w:spacing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DD5CCE">
        <w:rPr>
          <w:rFonts w:ascii="Times New Roman" w:hAnsi="Times New Roman" w:cs="Times New Roman"/>
          <w:sz w:val="24"/>
          <w:szCs w:val="24"/>
        </w:rPr>
        <w:t xml:space="preserve">Из изложенного в таблице следует, что </w:t>
      </w:r>
      <w:r w:rsidR="00A67452">
        <w:rPr>
          <w:rFonts w:ascii="Times New Roman" w:hAnsi="Times New Roman" w:cs="Times New Roman"/>
          <w:sz w:val="24"/>
          <w:szCs w:val="24"/>
        </w:rPr>
        <w:t>фактический дефицит областного бюджета превысил плановый дефицит в 3 раза. Кроме того, из 6 источников финансирования дефицита лишь по 2 источникам фактические значения соответствовали плановым.</w:t>
      </w:r>
    </w:p>
    <w:p w:rsidR="00A26882" w:rsidRPr="00306DEE" w:rsidRDefault="00B71697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полученные в 2020 году от возврата ранее предоставленных из областного бюджета юридическим лицам (</w:t>
      </w:r>
      <w:r w:rsidRPr="00B71697">
        <w:rPr>
          <w:rFonts w:ascii="Times New Roman" w:hAnsi="Times New Roman" w:cs="Times New Roman"/>
          <w:sz w:val="24"/>
          <w:szCs w:val="24"/>
        </w:rPr>
        <w:t xml:space="preserve">ОАО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1697">
        <w:rPr>
          <w:rFonts w:ascii="Times New Roman" w:hAnsi="Times New Roman" w:cs="Times New Roman"/>
          <w:sz w:val="24"/>
          <w:szCs w:val="24"/>
        </w:rPr>
        <w:t>ТомскАгроИнвест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») бюджетных кредитов, составил</w:t>
      </w:r>
      <w:r w:rsidR="00F703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3 587,4 тыс.руб. </w:t>
      </w:r>
      <w:r w:rsidR="00A26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452" w:rsidRDefault="00A67452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 ст. 160 Бюджетного кодекса РФ Департаментом финансов Томской области утверждена Методика прогнозирования поступлений по источникам финансирования дефицита бюджет</w:t>
      </w:r>
      <w:r w:rsidR="00565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(приказ Департамента от 05.08.2016 № 37).</w:t>
      </w:r>
    </w:p>
    <w:p w:rsidR="00A67452" w:rsidRDefault="00A67452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в адрес Департамента финансов направлен запрос с целью получения расчетных значений источников финансирования дефицита и причин отклонений, сложившихся по итогу 2020 года.</w:t>
      </w:r>
      <w:r w:rsidR="00AA0B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AA0BC5">
        <w:rPr>
          <w:rFonts w:ascii="Times New Roman" w:hAnsi="Times New Roman" w:cs="Times New Roman"/>
          <w:sz w:val="24"/>
          <w:szCs w:val="24"/>
        </w:rPr>
        <w:t>ответу (исх. от</w:t>
      </w:r>
      <w:r w:rsidR="00AA0BC5" w:rsidRPr="007C4BFB">
        <w:rPr>
          <w:rFonts w:ascii="Times New Roman" w:hAnsi="Times New Roman" w:cs="Times New Roman"/>
          <w:sz w:val="24"/>
          <w:szCs w:val="24"/>
        </w:rPr>
        <w:t xml:space="preserve"> </w:t>
      </w:r>
      <w:r w:rsidR="00AA0BC5">
        <w:rPr>
          <w:rFonts w:ascii="Times New Roman" w:hAnsi="Times New Roman" w:cs="Times New Roman"/>
          <w:sz w:val="24"/>
          <w:szCs w:val="24"/>
        </w:rPr>
        <w:t xml:space="preserve">20.05.2021 № АФ-13/21-289) </w:t>
      </w:r>
      <w:r w:rsidR="007C4BFB">
        <w:rPr>
          <w:rFonts w:ascii="Times New Roman" w:hAnsi="Times New Roman" w:cs="Times New Roman"/>
          <w:sz w:val="24"/>
          <w:szCs w:val="24"/>
        </w:rPr>
        <w:t>в качестве причин отклонений указ</w:t>
      </w:r>
      <w:r w:rsidR="00AA0BC5">
        <w:rPr>
          <w:rFonts w:ascii="Times New Roman" w:hAnsi="Times New Roman" w:cs="Times New Roman"/>
          <w:sz w:val="24"/>
          <w:szCs w:val="24"/>
        </w:rPr>
        <w:t>аны</w:t>
      </w:r>
      <w:r w:rsidR="007C4BFB">
        <w:rPr>
          <w:rFonts w:ascii="Times New Roman" w:hAnsi="Times New Roman" w:cs="Times New Roman"/>
          <w:sz w:val="24"/>
          <w:szCs w:val="24"/>
        </w:rPr>
        <w:t xml:space="preserve"> «снижение спроса на облигации для населения и увел</w:t>
      </w:r>
      <w:r w:rsidR="00AA0BC5">
        <w:rPr>
          <w:rFonts w:ascii="Times New Roman" w:hAnsi="Times New Roman" w:cs="Times New Roman"/>
          <w:sz w:val="24"/>
          <w:szCs w:val="24"/>
        </w:rPr>
        <w:t xml:space="preserve">ичение объема досрочного выкупа, </w:t>
      </w:r>
      <w:r w:rsidR="007C4BFB">
        <w:rPr>
          <w:rFonts w:ascii="Times New Roman" w:hAnsi="Times New Roman" w:cs="Times New Roman"/>
          <w:sz w:val="24"/>
          <w:szCs w:val="24"/>
        </w:rPr>
        <w:t>финан</w:t>
      </w:r>
      <w:r w:rsidR="00AA0BC5">
        <w:rPr>
          <w:rFonts w:ascii="Times New Roman" w:hAnsi="Times New Roman" w:cs="Times New Roman"/>
          <w:sz w:val="24"/>
          <w:szCs w:val="24"/>
        </w:rPr>
        <w:t xml:space="preserve">сирование внепланового дефицита, </w:t>
      </w:r>
      <w:r w:rsidR="007C4BFB">
        <w:rPr>
          <w:rFonts w:ascii="Times New Roman" w:hAnsi="Times New Roman" w:cs="Times New Roman"/>
          <w:sz w:val="24"/>
          <w:szCs w:val="24"/>
        </w:rPr>
        <w:t>плановое погашение кредитов муниципальных образований в 2020 году, а также досрочное погашение бюджетных кредитов».</w:t>
      </w:r>
    </w:p>
    <w:p w:rsidR="005652D5" w:rsidRDefault="00567EE0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5652D5">
        <w:rPr>
          <w:rFonts w:ascii="Times New Roman" w:hAnsi="Times New Roman" w:cs="Times New Roman"/>
          <w:sz w:val="24"/>
          <w:szCs w:val="24"/>
        </w:rPr>
        <w:t>Несмотря на произведенные изменения плановых назначений по источникам финансирования дефицита</w:t>
      </w:r>
      <w:r w:rsidR="005652D5">
        <w:rPr>
          <w:rFonts w:ascii="Times New Roman" w:hAnsi="Times New Roman" w:cs="Times New Roman"/>
          <w:sz w:val="24"/>
          <w:szCs w:val="24"/>
        </w:rPr>
        <w:t xml:space="preserve"> в </w:t>
      </w:r>
      <w:r w:rsidR="007C4BFB">
        <w:rPr>
          <w:rFonts w:ascii="Times New Roman" w:hAnsi="Times New Roman" w:cs="Times New Roman"/>
          <w:sz w:val="24"/>
          <w:szCs w:val="24"/>
        </w:rPr>
        <w:t>декабре</w:t>
      </w:r>
      <w:r w:rsidR="005652D5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5652D5">
        <w:rPr>
          <w:rFonts w:ascii="Times New Roman" w:hAnsi="Times New Roman" w:cs="Times New Roman"/>
          <w:sz w:val="24"/>
          <w:szCs w:val="24"/>
        </w:rPr>
        <w:t xml:space="preserve">, выявлены </w:t>
      </w:r>
      <w:r w:rsidR="00FD7627" w:rsidRPr="005652D5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333340" w:rsidRPr="005652D5">
        <w:rPr>
          <w:rFonts w:ascii="Times New Roman" w:hAnsi="Times New Roman" w:cs="Times New Roman"/>
          <w:sz w:val="24"/>
          <w:szCs w:val="24"/>
        </w:rPr>
        <w:t>фактического ис</w:t>
      </w:r>
      <w:r w:rsidRPr="005652D5">
        <w:rPr>
          <w:rFonts w:ascii="Times New Roman" w:hAnsi="Times New Roman" w:cs="Times New Roman"/>
          <w:sz w:val="24"/>
          <w:szCs w:val="24"/>
        </w:rPr>
        <w:t>полнения от плановых назначений</w:t>
      </w:r>
      <w:r w:rsidR="00333340" w:rsidRPr="005652D5">
        <w:rPr>
          <w:rFonts w:ascii="Times New Roman" w:hAnsi="Times New Roman" w:cs="Times New Roman"/>
          <w:sz w:val="24"/>
          <w:szCs w:val="24"/>
        </w:rPr>
        <w:t xml:space="preserve"> по ист</w:t>
      </w:r>
      <w:r w:rsidRPr="005652D5">
        <w:rPr>
          <w:rFonts w:ascii="Times New Roman" w:hAnsi="Times New Roman" w:cs="Times New Roman"/>
          <w:sz w:val="24"/>
          <w:szCs w:val="24"/>
        </w:rPr>
        <w:t xml:space="preserve">очникам финансирования дефицита на общую сумму </w:t>
      </w:r>
      <w:r w:rsidR="005652D5" w:rsidRPr="005652D5">
        <w:rPr>
          <w:rFonts w:ascii="Times New Roman" w:eastAsia="Times New Roman" w:hAnsi="Times New Roman" w:cs="Times New Roman"/>
          <w:sz w:val="24"/>
          <w:szCs w:val="24"/>
          <w:lang w:eastAsia="ru-RU"/>
        </w:rPr>
        <w:t>6 693 821,4</w:t>
      </w:r>
      <w:r w:rsidR="005652D5" w:rsidRPr="005652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652D5">
        <w:rPr>
          <w:rFonts w:ascii="Times New Roman" w:hAnsi="Times New Roman" w:cs="Times New Roman"/>
          <w:sz w:val="24"/>
          <w:szCs w:val="24"/>
        </w:rPr>
        <w:t>тыс.руб.</w:t>
      </w:r>
    </w:p>
    <w:p w:rsidR="00567EE0" w:rsidRPr="005652D5" w:rsidRDefault="00567EE0" w:rsidP="003E18F2">
      <w:pPr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5652D5">
        <w:rPr>
          <w:rFonts w:ascii="Times New Roman" w:hAnsi="Times New Roman" w:cs="Times New Roman"/>
          <w:sz w:val="24"/>
          <w:szCs w:val="24"/>
        </w:rPr>
        <w:t xml:space="preserve"> </w:t>
      </w:r>
      <w:r w:rsidR="005652D5">
        <w:rPr>
          <w:rFonts w:ascii="Times New Roman" w:hAnsi="Times New Roman" w:cs="Times New Roman"/>
          <w:sz w:val="24"/>
          <w:szCs w:val="24"/>
        </w:rPr>
        <w:t>Существенные отклонения</w:t>
      </w:r>
      <w:r w:rsidRPr="005652D5">
        <w:rPr>
          <w:rFonts w:ascii="Times New Roman" w:hAnsi="Times New Roman" w:cs="Times New Roman"/>
          <w:sz w:val="24"/>
          <w:szCs w:val="24"/>
        </w:rPr>
        <w:t xml:space="preserve"> </w:t>
      </w:r>
      <w:r w:rsidR="005652D5" w:rsidRPr="005652D5">
        <w:rPr>
          <w:rFonts w:ascii="Times New Roman" w:hAnsi="Times New Roman" w:cs="Times New Roman"/>
          <w:sz w:val="24"/>
          <w:szCs w:val="24"/>
        </w:rPr>
        <w:t>источник</w:t>
      </w:r>
      <w:r w:rsidR="005652D5">
        <w:rPr>
          <w:rFonts w:ascii="Times New Roman" w:hAnsi="Times New Roman" w:cs="Times New Roman"/>
          <w:sz w:val="24"/>
          <w:szCs w:val="24"/>
        </w:rPr>
        <w:t>ов</w:t>
      </w:r>
      <w:r w:rsidR="005652D5" w:rsidRPr="005652D5">
        <w:rPr>
          <w:rFonts w:ascii="Times New Roman" w:hAnsi="Times New Roman" w:cs="Times New Roman"/>
          <w:sz w:val="24"/>
          <w:szCs w:val="24"/>
        </w:rPr>
        <w:t xml:space="preserve"> финансирования дефицита </w:t>
      </w:r>
      <w:r w:rsidRPr="005652D5">
        <w:rPr>
          <w:rFonts w:ascii="Times New Roman" w:hAnsi="Times New Roman" w:cs="Times New Roman"/>
          <w:sz w:val="24"/>
          <w:szCs w:val="24"/>
        </w:rPr>
        <w:t>свидетельствует о недостатках при</w:t>
      </w:r>
      <w:r w:rsidR="005652D5">
        <w:rPr>
          <w:rFonts w:ascii="Times New Roman" w:hAnsi="Times New Roman" w:cs="Times New Roman"/>
          <w:sz w:val="24"/>
          <w:szCs w:val="24"/>
        </w:rPr>
        <w:t xml:space="preserve"> их</w:t>
      </w:r>
      <w:r w:rsidRPr="005652D5">
        <w:rPr>
          <w:rFonts w:ascii="Times New Roman" w:hAnsi="Times New Roman" w:cs="Times New Roman"/>
          <w:sz w:val="24"/>
          <w:szCs w:val="24"/>
        </w:rPr>
        <w:t xml:space="preserve"> планировании</w:t>
      </w:r>
      <w:r w:rsidR="005652D5">
        <w:rPr>
          <w:rFonts w:ascii="Times New Roman" w:hAnsi="Times New Roman" w:cs="Times New Roman"/>
          <w:sz w:val="24"/>
          <w:szCs w:val="24"/>
        </w:rPr>
        <w:t>,</w:t>
      </w:r>
      <w:r w:rsidRPr="005652D5">
        <w:rPr>
          <w:rFonts w:ascii="Times New Roman" w:hAnsi="Times New Roman" w:cs="Times New Roman"/>
          <w:sz w:val="24"/>
          <w:szCs w:val="24"/>
        </w:rPr>
        <w:t xml:space="preserve"> </w:t>
      </w:r>
      <w:r w:rsidR="005652D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5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652D5">
        <w:rPr>
          <w:rFonts w:ascii="Times New Roman" w:hAnsi="Times New Roman" w:cs="Times New Roman"/>
          <w:sz w:val="24"/>
          <w:szCs w:val="24"/>
        </w:rPr>
        <w:t>. о необходимости внесения изменений в Методику прогнозирования поступлений по источникам финансирования дефицита бюджета, утвержденную приказом Департамента финансов Томской области от 05.08.2016 № 37</w:t>
      </w:r>
      <w:r w:rsidRPr="005652D5">
        <w:rPr>
          <w:rFonts w:ascii="Times New Roman" w:hAnsi="Times New Roman" w:cs="Times New Roman"/>
          <w:sz w:val="24"/>
          <w:szCs w:val="24"/>
        </w:rPr>
        <w:t>.</w:t>
      </w:r>
      <w:r w:rsidR="00333340" w:rsidRPr="005652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7EE0" w:rsidRPr="005652D5" w:rsidSect="00F20C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5F" w:rsidRDefault="00BB5D5F" w:rsidP="00F20CD5">
      <w:pPr>
        <w:spacing w:after="0" w:line="240" w:lineRule="auto"/>
      </w:pPr>
      <w:r>
        <w:separator/>
      </w:r>
    </w:p>
  </w:endnote>
  <w:endnote w:type="continuationSeparator" w:id="0">
    <w:p w:rsidR="00BB5D5F" w:rsidRDefault="00BB5D5F" w:rsidP="00F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5F" w:rsidRDefault="00BB5D5F" w:rsidP="00F20CD5">
      <w:pPr>
        <w:spacing w:after="0" w:line="240" w:lineRule="auto"/>
      </w:pPr>
      <w:r>
        <w:separator/>
      </w:r>
    </w:p>
  </w:footnote>
  <w:footnote w:type="continuationSeparator" w:id="0">
    <w:p w:rsidR="00BB5D5F" w:rsidRDefault="00BB5D5F" w:rsidP="00F2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31854"/>
      <w:docPartObj>
        <w:docPartGallery w:val="Page Numbers (Top of Page)"/>
        <w:docPartUnique/>
      </w:docPartObj>
    </w:sdtPr>
    <w:sdtEndPr/>
    <w:sdtContent>
      <w:p w:rsidR="00F20CD5" w:rsidRDefault="00F20C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A8F">
          <w:rPr>
            <w:noProof/>
          </w:rPr>
          <w:t>2</w:t>
        </w:r>
        <w:r>
          <w:fldChar w:fldCharType="end"/>
        </w:r>
      </w:p>
    </w:sdtContent>
  </w:sdt>
  <w:p w:rsidR="00F20CD5" w:rsidRDefault="00F20C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527D"/>
    <w:multiLevelType w:val="hybridMultilevel"/>
    <w:tmpl w:val="C27827E4"/>
    <w:lvl w:ilvl="0" w:tplc="A5B837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47E3"/>
    <w:multiLevelType w:val="hybridMultilevel"/>
    <w:tmpl w:val="1908B190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8"/>
    <w:rsid w:val="000131A5"/>
    <w:rsid w:val="00013D87"/>
    <w:rsid w:val="00023E04"/>
    <w:rsid w:val="00053DA7"/>
    <w:rsid w:val="00064272"/>
    <w:rsid w:val="0007159A"/>
    <w:rsid w:val="00074D88"/>
    <w:rsid w:val="00077450"/>
    <w:rsid w:val="000912AB"/>
    <w:rsid w:val="000E1785"/>
    <w:rsid w:val="0013480D"/>
    <w:rsid w:val="00141156"/>
    <w:rsid w:val="0014161B"/>
    <w:rsid w:val="00171118"/>
    <w:rsid w:val="001819C3"/>
    <w:rsid w:val="001A320E"/>
    <w:rsid w:val="001C7FBC"/>
    <w:rsid w:val="002069C1"/>
    <w:rsid w:val="00213182"/>
    <w:rsid w:val="00221BE4"/>
    <w:rsid w:val="0028484C"/>
    <w:rsid w:val="00284C00"/>
    <w:rsid w:val="00287426"/>
    <w:rsid w:val="00295EF3"/>
    <w:rsid w:val="002A4A8F"/>
    <w:rsid w:val="002B1F7A"/>
    <w:rsid w:val="00306DEE"/>
    <w:rsid w:val="00307D0E"/>
    <w:rsid w:val="00326735"/>
    <w:rsid w:val="00333340"/>
    <w:rsid w:val="00357B0E"/>
    <w:rsid w:val="00386979"/>
    <w:rsid w:val="00387332"/>
    <w:rsid w:val="003954F0"/>
    <w:rsid w:val="003976B1"/>
    <w:rsid w:val="003E18F2"/>
    <w:rsid w:val="003F467D"/>
    <w:rsid w:val="0041435D"/>
    <w:rsid w:val="00442695"/>
    <w:rsid w:val="00442909"/>
    <w:rsid w:val="00447108"/>
    <w:rsid w:val="004654AD"/>
    <w:rsid w:val="00467DBC"/>
    <w:rsid w:val="00483A36"/>
    <w:rsid w:val="004A3DC7"/>
    <w:rsid w:val="004A4F6C"/>
    <w:rsid w:val="004A7482"/>
    <w:rsid w:val="0053036F"/>
    <w:rsid w:val="00530F4E"/>
    <w:rsid w:val="005652D5"/>
    <w:rsid w:val="00567EE0"/>
    <w:rsid w:val="00592B83"/>
    <w:rsid w:val="005F4686"/>
    <w:rsid w:val="005F6F7A"/>
    <w:rsid w:val="00607031"/>
    <w:rsid w:val="006104BB"/>
    <w:rsid w:val="00611AAB"/>
    <w:rsid w:val="00656981"/>
    <w:rsid w:val="006603B0"/>
    <w:rsid w:val="006823B6"/>
    <w:rsid w:val="0068692D"/>
    <w:rsid w:val="00687AC2"/>
    <w:rsid w:val="006D61F1"/>
    <w:rsid w:val="00706B82"/>
    <w:rsid w:val="007240EB"/>
    <w:rsid w:val="007337EC"/>
    <w:rsid w:val="0074089B"/>
    <w:rsid w:val="00742188"/>
    <w:rsid w:val="00761128"/>
    <w:rsid w:val="00770601"/>
    <w:rsid w:val="007721E5"/>
    <w:rsid w:val="007C4BFB"/>
    <w:rsid w:val="007D57FC"/>
    <w:rsid w:val="007E78D7"/>
    <w:rsid w:val="007F778E"/>
    <w:rsid w:val="00817705"/>
    <w:rsid w:val="008214E8"/>
    <w:rsid w:val="00830618"/>
    <w:rsid w:val="0083721E"/>
    <w:rsid w:val="008378B6"/>
    <w:rsid w:val="00837DE0"/>
    <w:rsid w:val="00845C8F"/>
    <w:rsid w:val="00857619"/>
    <w:rsid w:val="00871A5D"/>
    <w:rsid w:val="00872A6D"/>
    <w:rsid w:val="00891F9D"/>
    <w:rsid w:val="008A675B"/>
    <w:rsid w:val="008D0D24"/>
    <w:rsid w:val="008E3E49"/>
    <w:rsid w:val="008F094A"/>
    <w:rsid w:val="008F78E5"/>
    <w:rsid w:val="009033B6"/>
    <w:rsid w:val="00920D9D"/>
    <w:rsid w:val="0094032D"/>
    <w:rsid w:val="0095404D"/>
    <w:rsid w:val="00961DDE"/>
    <w:rsid w:val="009751C5"/>
    <w:rsid w:val="0099723C"/>
    <w:rsid w:val="00997A08"/>
    <w:rsid w:val="009C6E18"/>
    <w:rsid w:val="009D02CF"/>
    <w:rsid w:val="009D09EA"/>
    <w:rsid w:val="009E20E9"/>
    <w:rsid w:val="009E5407"/>
    <w:rsid w:val="009F3583"/>
    <w:rsid w:val="00A119B7"/>
    <w:rsid w:val="00A212FC"/>
    <w:rsid w:val="00A26882"/>
    <w:rsid w:val="00A40393"/>
    <w:rsid w:val="00A44A5D"/>
    <w:rsid w:val="00A629CB"/>
    <w:rsid w:val="00A67452"/>
    <w:rsid w:val="00A818B2"/>
    <w:rsid w:val="00A84348"/>
    <w:rsid w:val="00AA0BC5"/>
    <w:rsid w:val="00AB2066"/>
    <w:rsid w:val="00AB43C0"/>
    <w:rsid w:val="00AC4724"/>
    <w:rsid w:val="00AD6EC8"/>
    <w:rsid w:val="00AF55BA"/>
    <w:rsid w:val="00B06520"/>
    <w:rsid w:val="00B549FA"/>
    <w:rsid w:val="00B71697"/>
    <w:rsid w:val="00B77724"/>
    <w:rsid w:val="00B77909"/>
    <w:rsid w:val="00B811FA"/>
    <w:rsid w:val="00B97B99"/>
    <w:rsid w:val="00BB18CC"/>
    <w:rsid w:val="00BB5D5F"/>
    <w:rsid w:val="00BB654F"/>
    <w:rsid w:val="00BE6B9E"/>
    <w:rsid w:val="00BF1B56"/>
    <w:rsid w:val="00BF549E"/>
    <w:rsid w:val="00C01112"/>
    <w:rsid w:val="00C110FE"/>
    <w:rsid w:val="00C20878"/>
    <w:rsid w:val="00C5460D"/>
    <w:rsid w:val="00C82BBC"/>
    <w:rsid w:val="00C84915"/>
    <w:rsid w:val="00C91835"/>
    <w:rsid w:val="00CA2431"/>
    <w:rsid w:val="00CA7696"/>
    <w:rsid w:val="00CC0D7C"/>
    <w:rsid w:val="00CC732B"/>
    <w:rsid w:val="00CD4C72"/>
    <w:rsid w:val="00CE5FF9"/>
    <w:rsid w:val="00D022D3"/>
    <w:rsid w:val="00D02F77"/>
    <w:rsid w:val="00D16D18"/>
    <w:rsid w:val="00D73490"/>
    <w:rsid w:val="00D75F77"/>
    <w:rsid w:val="00DD1180"/>
    <w:rsid w:val="00DD5CCE"/>
    <w:rsid w:val="00DD76F9"/>
    <w:rsid w:val="00DE01B6"/>
    <w:rsid w:val="00DF0FA7"/>
    <w:rsid w:val="00DF2F8B"/>
    <w:rsid w:val="00E0297E"/>
    <w:rsid w:val="00E47516"/>
    <w:rsid w:val="00E47968"/>
    <w:rsid w:val="00E60266"/>
    <w:rsid w:val="00E67ED0"/>
    <w:rsid w:val="00EC262A"/>
    <w:rsid w:val="00ED5EFB"/>
    <w:rsid w:val="00EE24F6"/>
    <w:rsid w:val="00EE513F"/>
    <w:rsid w:val="00EE6905"/>
    <w:rsid w:val="00F078FC"/>
    <w:rsid w:val="00F20CD5"/>
    <w:rsid w:val="00F407F2"/>
    <w:rsid w:val="00F622C1"/>
    <w:rsid w:val="00F70317"/>
    <w:rsid w:val="00F84E4F"/>
    <w:rsid w:val="00F90012"/>
    <w:rsid w:val="00F90162"/>
    <w:rsid w:val="00F907BA"/>
    <w:rsid w:val="00FA1866"/>
    <w:rsid w:val="00FA5A65"/>
    <w:rsid w:val="00FA6355"/>
    <w:rsid w:val="00FA6DB0"/>
    <w:rsid w:val="00FD7627"/>
    <w:rsid w:val="00FE2B23"/>
    <w:rsid w:val="00FE322E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FDEFD-F549-4FC4-9100-30906831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110FE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2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1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CD5"/>
  </w:style>
  <w:style w:type="paragraph" w:styleId="a9">
    <w:name w:val="footer"/>
    <w:basedOn w:val="a"/>
    <w:link w:val="aa"/>
    <w:uiPriority w:val="99"/>
    <w:unhideWhenUsed/>
    <w:rsid w:val="00F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kharchukav\Desktop\&#1044;&#1086;&#1083;&#1075;&#1080;\&#1044;&#1077;&#1092;&#1080;&#1094;&#1080;&#1090;%20&#1089;&#1091;&#1073;&#1098;&#1077;&#1082;&#1090;&#1086;&#1074;%202020%20&#1075;&#1086;&#10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субъектов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РФ по отношению дефицита к собственным доходам</a:t>
            </a:r>
          </a:p>
        </c:rich>
      </c:tx>
      <c:layout>
        <c:manualLayout>
          <c:xMode val="edge"/>
          <c:yMode val="edge"/>
          <c:x val="0.14810102731091879"/>
          <c:y val="1.555800999988123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33333333333334E-2"/>
          <c:y val="4.4214201731570889E-2"/>
          <c:w val="0.93888888888888888"/>
          <c:h val="0.8373068117884672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ранжирование!$H$1</c:f>
              <c:strCache>
                <c:ptCount val="1"/>
                <c:pt idx="0">
                  <c:v>Величина показателя "отношение дефицита областного бюджета к объему доходов без учета безвозмездных поступлений"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89000"/>
                  </a:schemeClr>
                </a:gs>
                <a:gs pos="23000">
                  <a:schemeClr val="accent2">
                    <a:lumMod val="89000"/>
                  </a:schemeClr>
                </a:gs>
                <a:gs pos="69000">
                  <a:schemeClr val="accent2">
                    <a:lumMod val="75000"/>
                  </a:schemeClr>
                </a:gs>
                <a:gs pos="97000">
                  <a:schemeClr val="accent2">
                    <a:lumMod val="70000"/>
                  </a:schemeClr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133760074703E-2"/>
                  <c:y val="-3.2340314307184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2.9405038063188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0555533440018559E-2"/>
                  <c:y val="-3.3032966314895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667340748230533E-2"/>
                      <c:h val="0.11910669975186104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ранжирование!$G$2:$G$4</c:f>
              <c:strCache>
                <c:ptCount val="3"/>
                <c:pt idx="0">
                  <c:v>от 0% до 5%</c:v>
                </c:pt>
                <c:pt idx="1">
                  <c:v>от 6% до 15%</c:v>
                </c:pt>
                <c:pt idx="2">
                  <c:v>от 15% до 40%</c:v>
                </c:pt>
              </c:strCache>
            </c:strRef>
          </c:cat>
          <c:val>
            <c:numRef>
              <c:f>ранжирование!$H$2:$H$4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5"/>
        <c:shape val="box"/>
        <c:axId val="282340688"/>
        <c:axId val="282341472"/>
        <c:axId val="282683312"/>
      </c:bar3DChart>
      <c:catAx>
        <c:axId val="28234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2341472"/>
        <c:crosses val="autoZero"/>
        <c:auto val="1"/>
        <c:lblAlgn val="ctr"/>
        <c:lblOffset val="100"/>
        <c:noMultiLvlLbl val="0"/>
      </c:catAx>
      <c:valAx>
        <c:axId val="282341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2340688"/>
        <c:crosses val="autoZero"/>
        <c:crossBetween val="between"/>
      </c:valAx>
      <c:serAx>
        <c:axId val="282683312"/>
        <c:scaling>
          <c:orientation val="minMax"/>
        </c:scaling>
        <c:delete val="1"/>
        <c:axPos val="b"/>
        <c:majorTickMark val="out"/>
        <c:minorTickMark val="none"/>
        <c:tickLblPos val="nextTo"/>
        <c:crossAx val="28234147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B7F6-611E-44EA-8AED-2EB91D29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95</cp:revision>
  <cp:lastPrinted>2021-05-25T10:21:00Z</cp:lastPrinted>
  <dcterms:created xsi:type="dcterms:W3CDTF">2020-04-27T04:10:00Z</dcterms:created>
  <dcterms:modified xsi:type="dcterms:W3CDTF">2021-05-31T08:12:00Z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